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0DA31B" w14:textId="77777777" w:rsidR="00763C03" w:rsidRPr="00763C03" w:rsidRDefault="00763C03" w:rsidP="00763C03">
      <w:pPr>
        <w:spacing w:line="240" w:lineRule="auto"/>
        <w:ind w:firstLine="360"/>
        <w:jc w:val="right"/>
        <w:rPr>
          <w:rFonts w:ascii="Times New Roman" w:hAnsi="Times New Roman" w:cs="Times New Roman"/>
          <w:sz w:val="28"/>
          <w:szCs w:val="28"/>
        </w:rPr>
      </w:pPr>
      <w:r w:rsidRPr="00763C03">
        <w:rPr>
          <w:rFonts w:ascii="Times New Roman" w:hAnsi="Times New Roman" w:cs="Times New Roman"/>
          <w:sz w:val="28"/>
          <w:szCs w:val="28"/>
        </w:rPr>
        <w:t xml:space="preserve">(Ministru kabineta </w:t>
      </w:r>
    </w:p>
    <w:p w14:paraId="1D371E26" w14:textId="77777777" w:rsidR="00763C03" w:rsidRPr="00763C03" w:rsidRDefault="00763C03" w:rsidP="00763C03">
      <w:pPr>
        <w:overflowPunct w:val="0"/>
        <w:autoSpaceDE w:val="0"/>
        <w:autoSpaceDN w:val="0"/>
        <w:adjustRightInd w:val="0"/>
        <w:spacing w:line="240" w:lineRule="auto"/>
        <w:jc w:val="right"/>
        <w:textAlignment w:val="baseline"/>
        <w:rPr>
          <w:rFonts w:ascii="Times New Roman" w:hAnsi="Times New Roman" w:cs="Times New Roman"/>
          <w:sz w:val="28"/>
          <w:szCs w:val="28"/>
        </w:rPr>
      </w:pPr>
      <w:r w:rsidRPr="00763C03">
        <w:rPr>
          <w:rFonts w:ascii="Times New Roman" w:hAnsi="Times New Roman" w:cs="Times New Roman"/>
          <w:sz w:val="28"/>
          <w:szCs w:val="28"/>
        </w:rPr>
        <w:t>2024. gada 18. jūnija</w:t>
      </w:r>
    </w:p>
    <w:p w14:paraId="668C5B63" w14:textId="77777777" w:rsidR="00763C03" w:rsidRPr="00763C03" w:rsidRDefault="00763C03" w:rsidP="00763C03">
      <w:pPr>
        <w:spacing w:line="240" w:lineRule="auto"/>
        <w:ind w:firstLine="360"/>
        <w:jc w:val="right"/>
        <w:rPr>
          <w:rFonts w:ascii="Times New Roman" w:hAnsi="Times New Roman" w:cs="Times New Roman"/>
          <w:sz w:val="28"/>
          <w:szCs w:val="28"/>
        </w:rPr>
      </w:pPr>
      <w:r w:rsidRPr="00763C03">
        <w:rPr>
          <w:rFonts w:ascii="Times New Roman" w:hAnsi="Times New Roman" w:cs="Times New Roman"/>
          <w:sz w:val="28"/>
          <w:szCs w:val="28"/>
        </w:rPr>
        <w:t xml:space="preserve">rīkojums Nr. </w:t>
      </w:r>
      <w:r w:rsidRPr="00763C03">
        <w:rPr>
          <w:rFonts w:ascii="Times New Roman" w:hAnsi="Times New Roman" w:cs="Times New Roman"/>
          <w:sz w:val="28"/>
          <w:szCs w:val="28"/>
        </w:rPr>
        <w:t>502</w:t>
      </w:r>
      <w:r w:rsidRPr="00763C03">
        <w:rPr>
          <w:rFonts w:ascii="Times New Roman" w:hAnsi="Times New Roman" w:cs="Times New Roman"/>
          <w:sz w:val="28"/>
          <w:szCs w:val="28"/>
        </w:rPr>
        <w:t>)</w:t>
      </w:r>
    </w:p>
    <w:p w14:paraId="788304ED" w14:textId="77777777" w:rsidR="00B80382" w:rsidRPr="002A7D65" w:rsidRDefault="00B80382" w:rsidP="00B80382">
      <w:pPr>
        <w:pStyle w:val="Tabletitle"/>
        <w:rPr>
          <w:rFonts w:asciiTheme="minorHAnsi" w:hAnsiTheme="minorHAnsi" w:cstheme="minorBidi"/>
          <w:color w:val="auto"/>
          <w:sz w:val="22"/>
          <w:szCs w:val="22"/>
        </w:rPr>
      </w:pPr>
    </w:p>
    <w:p w14:paraId="5560FC0C" w14:textId="77777777" w:rsidR="00B80382" w:rsidRPr="002A7D65" w:rsidRDefault="00B80382" w:rsidP="00B80382">
      <w:pPr>
        <w:pStyle w:val="Tabletitle"/>
        <w:rPr>
          <w:rFonts w:asciiTheme="minorHAnsi" w:hAnsiTheme="minorHAnsi" w:cstheme="minorBidi"/>
          <w:color w:val="auto"/>
          <w:sz w:val="22"/>
          <w:szCs w:val="22"/>
        </w:rPr>
      </w:pPr>
    </w:p>
    <w:p w14:paraId="04B22D42" w14:textId="77777777" w:rsidR="00B80382" w:rsidRPr="002A7D65" w:rsidRDefault="00B80382" w:rsidP="00B80382">
      <w:pPr>
        <w:pStyle w:val="Tabletitle"/>
        <w:rPr>
          <w:rFonts w:asciiTheme="minorHAnsi" w:hAnsiTheme="minorHAnsi" w:cstheme="minorBidi"/>
          <w:color w:val="auto"/>
          <w:sz w:val="22"/>
          <w:szCs w:val="22"/>
        </w:rPr>
      </w:pPr>
    </w:p>
    <w:p w14:paraId="427EE8BC" w14:textId="77777777" w:rsidR="00B80382" w:rsidRPr="002A7D65" w:rsidRDefault="00B80382" w:rsidP="00B80382">
      <w:pPr>
        <w:pStyle w:val="Tabletitle"/>
        <w:rPr>
          <w:rFonts w:asciiTheme="minorHAnsi" w:hAnsiTheme="minorHAnsi" w:cstheme="minorBidi"/>
          <w:color w:val="auto"/>
          <w:sz w:val="22"/>
          <w:szCs w:val="22"/>
        </w:rPr>
      </w:pPr>
    </w:p>
    <w:p w14:paraId="19B35123" w14:textId="77777777" w:rsidR="00B80382" w:rsidRPr="002A7D65" w:rsidRDefault="00B80382" w:rsidP="00B80382">
      <w:pPr>
        <w:pStyle w:val="Tabletitle"/>
        <w:rPr>
          <w:rFonts w:asciiTheme="minorHAnsi" w:hAnsiTheme="minorHAnsi" w:cstheme="minorBidi"/>
          <w:color w:val="auto"/>
          <w:sz w:val="22"/>
          <w:szCs w:val="22"/>
        </w:rPr>
      </w:pPr>
    </w:p>
    <w:p w14:paraId="0F3C6138" w14:textId="77777777" w:rsidR="00B80382" w:rsidRPr="002A7D65" w:rsidRDefault="00B80382" w:rsidP="00B80382">
      <w:pPr>
        <w:pStyle w:val="Tabletitle"/>
        <w:rPr>
          <w:rFonts w:asciiTheme="minorHAnsi" w:hAnsiTheme="minorHAnsi" w:cstheme="minorBidi"/>
          <w:color w:val="auto"/>
          <w:sz w:val="22"/>
          <w:szCs w:val="22"/>
        </w:rPr>
      </w:pPr>
    </w:p>
    <w:p w14:paraId="1A6A48FC" w14:textId="77777777" w:rsidR="00B80382" w:rsidRPr="002A7D65" w:rsidRDefault="00B80382" w:rsidP="00B80382">
      <w:pPr>
        <w:pStyle w:val="Tabletitle"/>
        <w:rPr>
          <w:rFonts w:asciiTheme="minorHAnsi" w:hAnsiTheme="minorHAnsi" w:cstheme="minorBidi"/>
          <w:color w:val="auto"/>
          <w:sz w:val="22"/>
          <w:szCs w:val="22"/>
        </w:rPr>
      </w:pPr>
    </w:p>
    <w:p w14:paraId="7A7EA264" w14:textId="77777777" w:rsidR="00B80382" w:rsidRPr="002A7D65" w:rsidRDefault="00B80382" w:rsidP="00B80382">
      <w:pPr>
        <w:pStyle w:val="Tabletitle"/>
        <w:rPr>
          <w:rFonts w:ascii="Bahnschrift SemiCondensed" w:hAnsi="Bahnschrift SemiCondensed" w:cstheme="minorBidi"/>
          <w:color w:val="7030A0"/>
          <w:sz w:val="22"/>
          <w:szCs w:val="22"/>
        </w:rPr>
      </w:pPr>
    </w:p>
    <w:p w14:paraId="6728D508" w14:textId="77777777" w:rsidR="00B80382" w:rsidRPr="002A7D65" w:rsidRDefault="00B80382" w:rsidP="00B80382">
      <w:pPr>
        <w:pStyle w:val="Tabletitle"/>
        <w:spacing w:after="0" w:line="240" w:lineRule="auto"/>
        <w:ind w:left="-567" w:right="-1419" w:hanging="142"/>
        <w:jc w:val="center"/>
        <w:rPr>
          <w:rFonts w:ascii="Bahnschrift SemiCondensed" w:hAnsi="Bahnschrift SemiCondensed" w:cs="Tahoma"/>
          <w:color w:val="7030A0"/>
          <w:sz w:val="72"/>
          <w:szCs w:val="72"/>
        </w:rPr>
      </w:pPr>
      <w:r w:rsidRPr="002A7D65">
        <w:rPr>
          <w:rFonts w:ascii="Bahnschrift SemiCondensed" w:hAnsi="Bahnschrift SemiCondensed" w:cs="Tahoma"/>
          <w:color w:val="7030A0"/>
          <w:sz w:val="72"/>
          <w:szCs w:val="72"/>
        </w:rPr>
        <w:t>Konceptuālais ziņojums</w:t>
      </w:r>
    </w:p>
    <w:p w14:paraId="1541FFB7" w14:textId="7DB7CE56" w:rsidR="00B80382" w:rsidRPr="002A7D65" w:rsidRDefault="00B80382" w:rsidP="002971D8">
      <w:pPr>
        <w:pStyle w:val="Tabletitle"/>
        <w:spacing w:after="0" w:line="240" w:lineRule="auto"/>
        <w:ind w:left="-567" w:right="-568"/>
        <w:jc w:val="center"/>
        <w:rPr>
          <w:rFonts w:ascii="Bahnschrift SemiCondensed" w:hAnsi="Bahnschrift SemiCondensed" w:cs="Tahoma"/>
          <w:b/>
          <w:color w:val="7030A0"/>
          <w:sz w:val="72"/>
          <w:szCs w:val="72"/>
        </w:rPr>
      </w:pPr>
      <w:r w:rsidRPr="002A7D65">
        <w:rPr>
          <w:rFonts w:ascii="Bahnschrift SemiCondensed" w:hAnsi="Bahnschrift SemiCondensed" w:cs="Tahoma"/>
          <w:b/>
          <w:color w:val="7030A0"/>
          <w:sz w:val="72"/>
          <w:szCs w:val="72"/>
        </w:rPr>
        <w:t xml:space="preserve">“Par </w:t>
      </w:r>
      <w:r w:rsidR="002971D8" w:rsidRPr="002A7D65">
        <w:rPr>
          <w:rFonts w:ascii="Bahnschrift SemiCondensed" w:hAnsi="Bahnschrift SemiCondensed" w:cs="Tahoma"/>
          <w:b/>
          <w:color w:val="7030A0"/>
          <w:sz w:val="72"/>
          <w:szCs w:val="72"/>
        </w:rPr>
        <w:t>augstākās izglītības institucionālo finansēšanu</w:t>
      </w:r>
      <w:r w:rsidRPr="002A7D65">
        <w:rPr>
          <w:rFonts w:ascii="Bahnschrift SemiCondensed" w:hAnsi="Bahnschrift SemiCondensed" w:cs="Tahoma"/>
          <w:b/>
          <w:color w:val="7030A0"/>
          <w:sz w:val="72"/>
          <w:szCs w:val="72"/>
        </w:rPr>
        <w:t>”</w:t>
      </w:r>
    </w:p>
    <w:p w14:paraId="1FFBD218" w14:textId="77777777" w:rsidR="00B80382" w:rsidRPr="002A7D65" w:rsidRDefault="00B80382" w:rsidP="00B80382">
      <w:pPr>
        <w:pStyle w:val="Tabletitle"/>
        <w:rPr>
          <w:rFonts w:asciiTheme="minorHAnsi" w:hAnsiTheme="minorHAnsi" w:cstheme="minorBidi"/>
          <w:b/>
          <w:color w:val="auto"/>
          <w:sz w:val="34"/>
          <w:szCs w:val="34"/>
        </w:rPr>
      </w:pPr>
    </w:p>
    <w:p w14:paraId="1AB7A88E" w14:textId="77777777" w:rsidR="00B80382" w:rsidRPr="002A7D65" w:rsidRDefault="00B80382" w:rsidP="00B80382">
      <w:pPr>
        <w:pStyle w:val="Tabletitle"/>
        <w:rPr>
          <w:rFonts w:asciiTheme="minorHAnsi" w:hAnsiTheme="minorHAnsi" w:cstheme="minorBidi"/>
          <w:color w:val="auto"/>
          <w:sz w:val="22"/>
          <w:szCs w:val="22"/>
        </w:rPr>
      </w:pPr>
    </w:p>
    <w:p w14:paraId="12CA0E27" w14:textId="77777777" w:rsidR="00B80382" w:rsidRPr="002A7D65" w:rsidRDefault="00B80382" w:rsidP="00B80382">
      <w:pPr>
        <w:pStyle w:val="Tabletitle"/>
        <w:rPr>
          <w:rFonts w:asciiTheme="minorHAnsi" w:hAnsiTheme="minorHAnsi" w:cstheme="minorBidi"/>
          <w:color w:val="auto"/>
          <w:sz w:val="22"/>
          <w:szCs w:val="22"/>
        </w:rPr>
      </w:pPr>
    </w:p>
    <w:p w14:paraId="6C8DBB57" w14:textId="77777777" w:rsidR="00B80382" w:rsidRPr="002A7D65" w:rsidRDefault="00B80382" w:rsidP="00B80382">
      <w:pPr>
        <w:pStyle w:val="Tabletitle"/>
        <w:rPr>
          <w:rFonts w:asciiTheme="minorHAnsi" w:hAnsiTheme="minorHAnsi" w:cstheme="minorBidi"/>
          <w:color w:val="auto"/>
          <w:sz w:val="22"/>
          <w:szCs w:val="22"/>
        </w:rPr>
      </w:pPr>
    </w:p>
    <w:p w14:paraId="1458FC42" w14:textId="77777777" w:rsidR="00B80382" w:rsidRPr="002A7D65" w:rsidRDefault="00B80382" w:rsidP="00B80382">
      <w:pPr>
        <w:pStyle w:val="Tabletitle"/>
        <w:rPr>
          <w:rFonts w:asciiTheme="minorHAnsi" w:hAnsiTheme="minorHAnsi" w:cstheme="minorBidi"/>
          <w:color w:val="auto"/>
          <w:sz w:val="22"/>
          <w:szCs w:val="22"/>
        </w:rPr>
      </w:pPr>
    </w:p>
    <w:p w14:paraId="34D228FF" w14:textId="77777777" w:rsidR="00B80382" w:rsidRPr="002A7D65" w:rsidRDefault="00B80382" w:rsidP="00B80382">
      <w:pPr>
        <w:pStyle w:val="Tabletitle"/>
        <w:rPr>
          <w:rFonts w:asciiTheme="minorHAnsi" w:hAnsiTheme="minorHAnsi" w:cstheme="minorBidi"/>
          <w:color w:val="auto"/>
          <w:sz w:val="22"/>
          <w:szCs w:val="22"/>
        </w:rPr>
      </w:pPr>
    </w:p>
    <w:p w14:paraId="7D7BA13D" w14:textId="77777777" w:rsidR="00B80382" w:rsidRPr="002A7D65" w:rsidRDefault="00B80382" w:rsidP="00B80382">
      <w:pPr>
        <w:pStyle w:val="Tabletitle"/>
        <w:rPr>
          <w:rFonts w:ascii="Tahoma" w:hAnsi="Tahoma" w:cs="Tahoma"/>
          <w:color w:val="auto"/>
          <w:sz w:val="22"/>
          <w:szCs w:val="22"/>
        </w:rPr>
      </w:pPr>
    </w:p>
    <w:p w14:paraId="0AE5A2DD" w14:textId="77777777" w:rsidR="00B80382" w:rsidRPr="002A7D65" w:rsidRDefault="00B80382" w:rsidP="00B80382">
      <w:pPr>
        <w:pStyle w:val="Tabletitle"/>
        <w:rPr>
          <w:rFonts w:ascii="Tahoma" w:hAnsi="Tahoma" w:cs="Tahoma"/>
          <w:color w:val="auto"/>
          <w:sz w:val="22"/>
          <w:szCs w:val="22"/>
        </w:rPr>
      </w:pPr>
    </w:p>
    <w:p w14:paraId="26A5BBF3" w14:textId="77777777" w:rsidR="00B80382" w:rsidRPr="002A7D65" w:rsidRDefault="00B80382" w:rsidP="00B80382">
      <w:pPr>
        <w:pStyle w:val="Tabletitle"/>
        <w:rPr>
          <w:rFonts w:ascii="Tahoma" w:hAnsi="Tahoma" w:cs="Tahoma"/>
          <w:color w:val="auto"/>
          <w:sz w:val="22"/>
          <w:szCs w:val="22"/>
        </w:rPr>
      </w:pPr>
    </w:p>
    <w:p w14:paraId="3F280D94" w14:textId="77777777" w:rsidR="00B80382" w:rsidRPr="002A7D65" w:rsidRDefault="00B80382" w:rsidP="00B80382">
      <w:pPr>
        <w:pStyle w:val="Tabletitle"/>
        <w:rPr>
          <w:rFonts w:ascii="Tahoma" w:hAnsi="Tahoma" w:cs="Tahoma"/>
          <w:color w:val="auto"/>
          <w:sz w:val="22"/>
          <w:szCs w:val="22"/>
        </w:rPr>
      </w:pPr>
    </w:p>
    <w:p w14:paraId="7E9DB85C" w14:textId="77777777" w:rsidR="00B80382" w:rsidRPr="002A7D65" w:rsidRDefault="00B80382" w:rsidP="00B80382">
      <w:pPr>
        <w:pStyle w:val="Tabletitle"/>
        <w:spacing w:before="0" w:after="0"/>
        <w:jc w:val="center"/>
        <w:rPr>
          <w:rFonts w:ascii="Bahnschrift Light" w:hAnsi="Bahnschrift Light" w:cs="Tahoma"/>
          <w:color w:val="808080" w:themeColor="background1" w:themeShade="80"/>
          <w:sz w:val="28"/>
          <w:szCs w:val="28"/>
        </w:rPr>
      </w:pPr>
      <w:r w:rsidRPr="002A7D65">
        <w:rPr>
          <w:rFonts w:ascii="Bahnschrift Light" w:hAnsi="Bahnschrift Light" w:cs="Tahoma"/>
          <w:color w:val="808080" w:themeColor="background1" w:themeShade="80"/>
          <w:sz w:val="28"/>
          <w:szCs w:val="28"/>
        </w:rPr>
        <w:t>Izglītības un zinātnes ministrija</w:t>
      </w:r>
    </w:p>
    <w:p w14:paraId="03B69A36" w14:textId="77777777" w:rsidR="00B80382" w:rsidRPr="002A7D65" w:rsidRDefault="00B80382" w:rsidP="00B80382">
      <w:pPr>
        <w:pStyle w:val="Tabletitle"/>
        <w:spacing w:before="0" w:after="0"/>
        <w:jc w:val="center"/>
        <w:rPr>
          <w:rFonts w:ascii="Bahnschrift Light" w:hAnsi="Bahnschrift Light" w:cs="Tahoma"/>
          <w:color w:val="808080" w:themeColor="background1" w:themeShade="80"/>
          <w:sz w:val="28"/>
          <w:szCs w:val="28"/>
        </w:rPr>
      </w:pPr>
      <w:r w:rsidRPr="002A7D65">
        <w:rPr>
          <w:rFonts w:ascii="Bahnschrift Light" w:hAnsi="Bahnschrift Light" w:cs="Tahoma"/>
          <w:color w:val="808080" w:themeColor="background1" w:themeShade="80"/>
          <w:sz w:val="28"/>
          <w:szCs w:val="28"/>
        </w:rPr>
        <w:t xml:space="preserve">Augstākās izglītības, zinātnes </w:t>
      </w:r>
    </w:p>
    <w:p w14:paraId="0F46B59A" w14:textId="77777777" w:rsidR="00B80382" w:rsidRPr="002A7D65" w:rsidRDefault="00B80382" w:rsidP="00B80382">
      <w:pPr>
        <w:pStyle w:val="Tabletitle"/>
        <w:spacing w:before="0" w:after="0"/>
        <w:jc w:val="center"/>
        <w:rPr>
          <w:rFonts w:ascii="Bahnschrift Light" w:hAnsi="Bahnschrift Light" w:cs="Tahoma"/>
          <w:color w:val="auto"/>
          <w:sz w:val="22"/>
          <w:szCs w:val="22"/>
        </w:rPr>
      </w:pPr>
      <w:r w:rsidRPr="002A7D65">
        <w:rPr>
          <w:rFonts w:ascii="Bahnschrift Light" w:hAnsi="Bahnschrift Light" w:cs="Tahoma"/>
          <w:color w:val="808080" w:themeColor="background1" w:themeShade="80"/>
          <w:sz w:val="28"/>
          <w:szCs w:val="28"/>
        </w:rPr>
        <w:t>un inovāciju departaments</w:t>
      </w:r>
    </w:p>
    <w:p w14:paraId="26B1A053" w14:textId="77777777" w:rsidR="00B80382" w:rsidRPr="002A7D65" w:rsidRDefault="00B80382" w:rsidP="00B80382">
      <w:pPr>
        <w:pStyle w:val="Tabletitle"/>
        <w:jc w:val="center"/>
        <w:rPr>
          <w:rFonts w:ascii="Bahnschrift Light" w:hAnsi="Bahnschrift Light" w:cstheme="minorBidi"/>
          <w:color w:val="auto"/>
          <w:sz w:val="22"/>
          <w:szCs w:val="22"/>
        </w:rPr>
      </w:pPr>
    </w:p>
    <w:p w14:paraId="07605FA8" w14:textId="77777777" w:rsidR="00B80382" w:rsidRPr="002A7D65" w:rsidRDefault="00B80382" w:rsidP="00B80382">
      <w:pPr>
        <w:pStyle w:val="Tabletitle"/>
        <w:rPr>
          <w:rFonts w:ascii="Bahnschrift Light" w:hAnsi="Bahnschrift Light" w:cstheme="minorBidi"/>
          <w:color w:val="auto"/>
          <w:sz w:val="22"/>
          <w:szCs w:val="22"/>
        </w:rPr>
      </w:pPr>
      <w:r w:rsidRPr="002A7D65">
        <w:rPr>
          <w:rFonts w:asciiTheme="minorHAnsi" w:hAnsiTheme="minorHAnsi" w:cstheme="minorBidi"/>
          <w:noProof/>
          <w:color w:val="auto"/>
          <w:sz w:val="22"/>
          <w:szCs w:val="22"/>
        </w:rPr>
        <w:drawing>
          <wp:anchor distT="0" distB="0" distL="114300" distR="114300" simplePos="0" relativeHeight="251662336" behindDoc="1" locked="0" layoutInCell="1" allowOverlap="1" wp14:anchorId="28B2CCE6" wp14:editId="6E6B5830">
            <wp:simplePos x="0" y="0"/>
            <wp:positionH relativeFrom="page">
              <wp:align>right</wp:align>
            </wp:positionH>
            <wp:positionV relativeFrom="page">
              <wp:posOffset>8027035</wp:posOffset>
            </wp:positionV>
            <wp:extent cx="3385185" cy="2441575"/>
            <wp:effectExtent l="0" t="0" r="1270" b="1270"/>
            <wp:wrapNone/>
            <wp:docPr id="13" name="Picture 13" descr="A picture containing purple, violet, art, lila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purple, violet, art, lilac&#10;&#10;Description automatically generated"/>
                    <pic:cNvPicPr/>
                  </pic:nvPicPr>
                  <pic:blipFill rotWithShape="1">
                    <a:blip r:embed="rId8" cstate="print">
                      <a:duotone>
                        <a:schemeClr val="bg2">
                          <a:shade val="45000"/>
                          <a:satMod val="135000"/>
                        </a:schemeClr>
                        <a:prstClr val="white"/>
                      </a:duotone>
                      <a:extLst>
                        <a:ext uri="{28A0092B-C50C-407E-A947-70E740481C1C}">
                          <a14:useLocalDpi xmlns:a14="http://schemas.microsoft.com/office/drawing/2010/main" val="0"/>
                        </a:ext>
                      </a:extLst>
                    </a:blip>
                    <a:srcRect r="57125" b="56417"/>
                    <a:stretch/>
                  </pic:blipFill>
                  <pic:spPr bwMode="auto">
                    <a:xfrm rot="16200000" flipV="1">
                      <a:off x="0" y="0"/>
                      <a:ext cx="3385185" cy="2441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4258CC" w14:textId="77777777" w:rsidR="00B80382" w:rsidRPr="002A7D65" w:rsidRDefault="00B80382" w:rsidP="00B80382">
      <w:pPr>
        <w:pStyle w:val="Tabletitle"/>
        <w:jc w:val="center"/>
        <w:rPr>
          <w:rFonts w:ascii="Bahnschrift Light" w:hAnsi="Bahnschrift Light" w:cstheme="minorBidi"/>
          <w:color w:val="auto"/>
          <w:sz w:val="22"/>
          <w:szCs w:val="22"/>
        </w:rPr>
      </w:pPr>
    </w:p>
    <w:p w14:paraId="67553664" w14:textId="00917E2E" w:rsidR="00B80382" w:rsidRPr="002A7D65" w:rsidRDefault="00B80382" w:rsidP="00B80382">
      <w:pPr>
        <w:pStyle w:val="Tabletitle"/>
        <w:jc w:val="center"/>
        <w:rPr>
          <w:rFonts w:ascii="Bahnschrift Light" w:hAnsi="Bahnschrift Light" w:cstheme="minorBidi"/>
          <w:color w:val="808080" w:themeColor="background1" w:themeShade="80"/>
          <w:sz w:val="22"/>
          <w:szCs w:val="22"/>
        </w:rPr>
      </w:pPr>
      <w:r w:rsidRPr="002A7D65">
        <w:rPr>
          <w:rFonts w:ascii="Bahnschrift Light" w:hAnsi="Bahnschrift Light" w:cstheme="minorBidi"/>
          <w:color w:val="808080" w:themeColor="background1" w:themeShade="80"/>
          <w:sz w:val="22"/>
          <w:szCs w:val="22"/>
        </w:rPr>
        <w:lastRenderedPageBreak/>
        <w:t>202</w:t>
      </w:r>
      <w:r w:rsidR="00F735EA">
        <w:rPr>
          <w:rFonts w:ascii="Bahnschrift Light" w:hAnsi="Bahnschrift Light" w:cstheme="minorBidi"/>
          <w:color w:val="808080" w:themeColor="background1" w:themeShade="80"/>
          <w:sz w:val="22"/>
          <w:szCs w:val="22"/>
        </w:rPr>
        <w:t>4</w:t>
      </w:r>
      <w:r w:rsidRPr="002A7D65">
        <w:rPr>
          <w:rFonts w:ascii="Bahnschrift Light" w:hAnsi="Bahnschrift Light" w:cstheme="minorBidi"/>
          <w:color w:val="808080" w:themeColor="background1" w:themeShade="80"/>
          <w:sz w:val="22"/>
          <w:szCs w:val="22"/>
        </w:rPr>
        <w:t>.gads</w:t>
      </w:r>
    </w:p>
    <w:p w14:paraId="4B148194" w14:textId="77777777" w:rsidR="00B80382" w:rsidRPr="002A7D65" w:rsidRDefault="00B80382" w:rsidP="00B80382">
      <w:pPr>
        <w:pStyle w:val="Tabletitle"/>
        <w:jc w:val="center"/>
        <w:rPr>
          <w:rFonts w:ascii="Bahnschrift Light" w:hAnsi="Bahnschrift Light" w:cstheme="minorBidi"/>
          <w:color w:val="auto"/>
          <w:sz w:val="22"/>
          <w:szCs w:val="22"/>
        </w:rPr>
      </w:pPr>
    </w:p>
    <w:p w14:paraId="5A222CBC" w14:textId="43014B27" w:rsidR="00B80382" w:rsidRPr="002A7D65" w:rsidRDefault="009E7621" w:rsidP="009E7621">
      <w:pPr>
        <w:pStyle w:val="Heading1"/>
      </w:pPr>
      <w:bookmarkStart w:id="0" w:name="_Toc159325047"/>
      <w:bookmarkStart w:id="1" w:name="_Toc167452313"/>
      <w:r w:rsidRPr="002A7D65">
        <w:t>Saturs</w:t>
      </w:r>
      <w:bookmarkEnd w:id="0"/>
      <w:bookmarkEnd w:id="1"/>
    </w:p>
    <w:sdt>
      <w:sdtPr>
        <w:rPr>
          <w:rFonts w:asciiTheme="minorHAnsi" w:hAnsiTheme="minorHAnsi" w:cstheme="minorBidi"/>
          <w:color w:val="auto"/>
          <w:sz w:val="22"/>
          <w:szCs w:val="22"/>
        </w:rPr>
        <w:id w:val="501944580"/>
        <w:docPartObj>
          <w:docPartGallery w:val="Table of Contents"/>
          <w:docPartUnique/>
        </w:docPartObj>
      </w:sdtPr>
      <w:sdtEndPr>
        <w:rPr>
          <w:rFonts w:cs="Calibri"/>
          <w:sz w:val="24"/>
          <w:szCs w:val="24"/>
        </w:rPr>
      </w:sdtEndPr>
      <w:sdtContent>
        <w:p w14:paraId="6C1B09DA" w14:textId="77777777" w:rsidR="00B80382" w:rsidRPr="002A7D65" w:rsidRDefault="00B80382" w:rsidP="00B80382">
          <w:pPr>
            <w:pStyle w:val="Tabletitle"/>
          </w:pPr>
          <w:r w:rsidRPr="002A7D65">
            <w:t>Saturs</w:t>
          </w:r>
        </w:p>
        <w:p w14:paraId="03774602" w14:textId="36F4AF3A" w:rsidR="00976B3D" w:rsidRDefault="00B80382">
          <w:pPr>
            <w:pStyle w:val="TOC1"/>
            <w:tabs>
              <w:tab w:val="right" w:leader="dot" w:pos="8920"/>
            </w:tabs>
            <w:rPr>
              <w:rFonts w:eastAsiaTheme="minorEastAsia" w:cstheme="minorBidi"/>
              <w:noProof/>
              <w:kern w:val="2"/>
              <w:lang w:eastAsia="lv-LV"/>
              <w14:ligatures w14:val="standardContextual"/>
            </w:rPr>
          </w:pPr>
          <w:r w:rsidRPr="002A7D65">
            <w:fldChar w:fldCharType="begin"/>
          </w:r>
          <w:r w:rsidRPr="002A7D65">
            <w:instrText xml:space="preserve"> TOC \o "1-3" \h \z \u </w:instrText>
          </w:r>
          <w:r w:rsidRPr="002A7D65">
            <w:fldChar w:fldCharType="separate"/>
          </w:r>
          <w:hyperlink w:anchor="_Toc167452313" w:history="1">
            <w:r w:rsidR="00976B3D" w:rsidRPr="00E3405E">
              <w:rPr>
                <w:rStyle w:val="Hyperlink"/>
                <w:noProof/>
              </w:rPr>
              <w:t>Saturs</w:t>
            </w:r>
            <w:r w:rsidR="00976B3D">
              <w:rPr>
                <w:noProof/>
                <w:webHidden/>
              </w:rPr>
              <w:tab/>
            </w:r>
            <w:r w:rsidR="00976B3D">
              <w:rPr>
                <w:noProof/>
                <w:webHidden/>
              </w:rPr>
              <w:fldChar w:fldCharType="begin"/>
            </w:r>
            <w:r w:rsidR="00976B3D">
              <w:rPr>
                <w:noProof/>
                <w:webHidden/>
              </w:rPr>
              <w:instrText xml:space="preserve"> PAGEREF _Toc167452313 \h </w:instrText>
            </w:r>
            <w:r w:rsidR="00976B3D">
              <w:rPr>
                <w:noProof/>
                <w:webHidden/>
              </w:rPr>
            </w:r>
            <w:r w:rsidR="00976B3D">
              <w:rPr>
                <w:noProof/>
                <w:webHidden/>
              </w:rPr>
              <w:fldChar w:fldCharType="separate"/>
            </w:r>
            <w:r w:rsidR="00976B3D">
              <w:rPr>
                <w:noProof/>
                <w:webHidden/>
              </w:rPr>
              <w:t>2</w:t>
            </w:r>
            <w:r w:rsidR="00976B3D">
              <w:rPr>
                <w:noProof/>
                <w:webHidden/>
              </w:rPr>
              <w:fldChar w:fldCharType="end"/>
            </w:r>
          </w:hyperlink>
        </w:p>
        <w:p w14:paraId="11C57D57" w14:textId="61D5D150" w:rsidR="00976B3D" w:rsidRDefault="00763C03">
          <w:pPr>
            <w:pStyle w:val="TOC1"/>
            <w:tabs>
              <w:tab w:val="right" w:leader="dot" w:pos="8920"/>
            </w:tabs>
            <w:rPr>
              <w:rFonts w:eastAsiaTheme="minorEastAsia" w:cstheme="minorBidi"/>
              <w:noProof/>
              <w:kern w:val="2"/>
              <w:lang w:eastAsia="lv-LV"/>
              <w14:ligatures w14:val="standardContextual"/>
            </w:rPr>
          </w:pPr>
          <w:hyperlink w:anchor="_Toc167452314" w:history="1">
            <w:r w:rsidR="00976B3D" w:rsidRPr="00E3405E">
              <w:rPr>
                <w:rStyle w:val="Hyperlink"/>
                <w:noProof/>
              </w:rPr>
              <w:t>Konceptuālā ziņojuma kopsavilkums</w:t>
            </w:r>
            <w:r w:rsidR="00976B3D">
              <w:rPr>
                <w:noProof/>
                <w:webHidden/>
              </w:rPr>
              <w:tab/>
            </w:r>
            <w:r w:rsidR="00976B3D">
              <w:rPr>
                <w:noProof/>
                <w:webHidden/>
              </w:rPr>
              <w:fldChar w:fldCharType="begin"/>
            </w:r>
            <w:r w:rsidR="00976B3D">
              <w:rPr>
                <w:noProof/>
                <w:webHidden/>
              </w:rPr>
              <w:instrText xml:space="preserve"> PAGEREF _Toc167452314 \h </w:instrText>
            </w:r>
            <w:r w:rsidR="00976B3D">
              <w:rPr>
                <w:noProof/>
                <w:webHidden/>
              </w:rPr>
            </w:r>
            <w:r w:rsidR="00976B3D">
              <w:rPr>
                <w:noProof/>
                <w:webHidden/>
              </w:rPr>
              <w:fldChar w:fldCharType="separate"/>
            </w:r>
            <w:r w:rsidR="00976B3D">
              <w:rPr>
                <w:noProof/>
                <w:webHidden/>
              </w:rPr>
              <w:t>4</w:t>
            </w:r>
            <w:r w:rsidR="00976B3D">
              <w:rPr>
                <w:noProof/>
                <w:webHidden/>
              </w:rPr>
              <w:fldChar w:fldCharType="end"/>
            </w:r>
          </w:hyperlink>
        </w:p>
        <w:p w14:paraId="60663870" w14:textId="61B330EB" w:rsidR="00976B3D" w:rsidRDefault="00763C03">
          <w:pPr>
            <w:pStyle w:val="TOC1"/>
            <w:tabs>
              <w:tab w:val="right" w:leader="dot" w:pos="8920"/>
            </w:tabs>
            <w:rPr>
              <w:rFonts w:eastAsiaTheme="minorEastAsia" w:cstheme="minorBidi"/>
              <w:noProof/>
              <w:kern w:val="2"/>
              <w:lang w:eastAsia="lv-LV"/>
              <w14:ligatures w14:val="standardContextual"/>
            </w:rPr>
          </w:pPr>
          <w:hyperlink w:anchor="_Toc167452315" w:history="1">
            <w:r w:rsidR="00976B3D" w:rsidRPr="00E3405E">
              <w:rPr>
                <w:rStyle w:val="Hyperlink"/>
                <w:noProof/>
              </w:rPr>
              <w:t>Izmantotie termini un saīsinājumi</w:t>
            </w:r>
            <w:r w:rsidR="00976B3D">
              <w:rPr>
                <w:noProof/>
                <w:webHidden/>
              </w:rPr>
              <w:tab/>
            </w:r>
            <w:r w:rsidR="00976B3D">
              <w:rPr>
                <w:noProof/>
                <w:webHidden/>
              </w:rPr>
              <w:fldChar w:fldCharType="begin"/>
            </w:r>
            <w:r w:rsidR="00976B3D">
              <w:rPr>
                <w:noProof/>
                <w:webHidden/>
              </w:rPr>
              <w:instrText xml:space="preserve"> PAGEREF _Toc167452315 \h </w:instrText>
            </w:r>
            <w:r w:rsidR="00976B3D">
              <w:rPr>
                <w:noProof/>
                <w:webHidden/>
              </w:rPr>
            </w:r>
            <w:r w:rsidR="00976B3D">
              <w:rPr>
                <w:noProof/>
                <w:webHidden/>
              </w:rPr>
              <w:fldChar w:fldCharType="separate"/>
            </w:r>
            <w:r w:rsidR="00976B3D">
              <w:rPr>
                <w:noProof/>
                <w:webHidden/>
              </w:rPr>
              <w:t>6</w:t>
            </w:r>
            <w:r w:rsidR="00976B3D">
              <w:rPr>
                <w:noProof/>
                <w:webHidden/>
              </w:rPr>
              <w:fldChar w:fldCharType="end"/>
            </w:r>
          </w:hyperlink>
        </w:p>
        <w:p w14:paraId="4C90059E" w14:textId="72B229E2" w:rsidR="00976B3D" w:rsidRDefault="00763C03">
          <w:pPr>
            <w:pStyle w:val="TOC1"/>
            <w:tabs>
              <w:tab w:val="right" w:leader="dot" w:pos="8920"/>
            </w:tabs>
            <w:rPr>
              <w:rFonts w:eastAsiaTheme="minorEastAsia" w:cstheme="minorBidi"/>
              <w:noProof/>
              <w:kern w:val="2"/>
              <w:lang w:eastAsia="lv-LV"/>
              <w14:ligatures w14:val="standardContextual"/>
            </w:rPr>
          </w:pPr>
          <w:hyperlink w:anchor="_Toc167452316" w:history="1">
            <w:r w:rsidR="00976B3D" w:rsidRPr="00E3405E">
              <w:rPr>
                <w:rStyle w:val="Hyperlink"/>
                <w:noProof/>
              </w:rPr>
              <w:t>Augstākās izglītības finansēšana Latvijā un pasaules labā prakse</w:t>
            </w:r>
            <w:r w:rsidR="00976B3D">
              <w:rPr>
                <w:noProof/>
                <w:webHidden/>
              </w:rPr>
              <w:tab/>
            </w:r>
            <w:r w:rsidR="00976B3D">
              <w:rPr>
                <w:noProof/>
                <w:webHidden/>
              </w:rPr>
              <w:fldChar w:fldCharType="begin"/>
            </w:r>
            <w:r w:rsidR="00976B3D">
              <w:rPr>
                <w:noProof/>
                <w:webHidden/>
              </w:rPr>
              <w:instrText xml:space="preserve"> PAGEREF _Toc167452316 \h </w:instrText>
            </w:r>
            <w:r w:rsidR="00976B3D">
              <w:rPr>
                <w:noProof/>
                <w:webHidden/>
              </w:rPr>
            </w:r>
            <w:r w:rsidR="00976B3D">
              <w:rPr>
                <w:noProof/>
                <w:webHidden/>
              </w:rPr>
              <w:fldChar w:fldCharType="separate"/>
            </w:r>
            <w:r w:rsidR="00976B3D">
              <w:rPr>
                <w:noProof/>
                <w:webHidden/>
              </w:rPr>
              <w:t>7</w:t>
            </w:r>
            <w:r w:rsidR="00976B3D">
              <w:rPr>
                <w:noProof/>
                <w:webHidden/>
              </w:rPr>
              <w:fldChar w:fldCharType="end"/>
            </w:r>
          </w:hyperlink>
        </w:p>
        <w:p w14:paraId="4C344B93" w14:textId="2DA8EFFB" w:rsidR="00976B3D" w:rsidRDefault="00763C03">
          <w:pPr>
            <w:pStyle w:val="TOC2"/>
            <w:tabs>
              <w:tab w:val="right" w:leader="dot" w:pos="8920"/>
            </w:tabs>
            <w:rPr>
              <w:rFonts w:eastAsiaTheme="minorEastAsia" w:cstheme="minorBidi"/>
              <w:noProof/>
              <w:kern w:val="2"/>
              <w:lang w:eastAsia="lv-LV"/>
              <w14:ligatures w14:val="standardContextual"/>
            </w:rPr>
          </w:pPr>
          <w:hyperlink w:anchor="_Toc167452317" w:history="1">
            <w:r w:rsidR="00976B3D" w:rsidRPr="00E3405E">
              <w:rPr>
                <w:rStyle w:val="Hyperlink"/>
                <w:noProof/>
              </w:rPr>
              <w:t>Augstākās izglītības finansēšana Latvijā</w:t>
            </w:r>
            <w:r w:rsidR="00976B3D">
              <w:rPr>
                <w:noProof/>
                <w:webHidden/>
              </w:rPr>
              <w:tab/>
            </w:r>
            <w:r w:rsidR="00976B3D">
              <w:rPr>
                <w:noProof/>
                <w:webHidden/>
              </w:rPr>
              <w:fldChar w:fldCharType="begin"/>
            </w:r>
            <w:r w:rsidR="00976B3D">
              <w:rPr>
                <w:noProof/>
                <w:webHidden/>
              </w:rPr>
              <w:instrText xml:space="preserve"> PAGEREF _Toc167452317 \h </w:instrText>
            </w:r>
            <w:r w:rsidR="00976B3D">
              <w:rPr>
                <w:noProof/>
                <w:webHidden/>
              </w:rPr>
            </w:r>
            <w:r w:rsidR="00976B3D">
              <w:rPr>
                <w:noProof/>
                <w:webHidden/>
              </w:rPr>
              <w:fldChar w:fldCharType="separate"/>
            </w:r>
            <w:r w:rsidR="00976B3D">
              <w:rPr>
                <w:noProof/>
                <w:webHidden/>
              </w:rPr>
              <w:t>7</w:t>
            </w:r>
            <w:r w:rsidR="00976B3D">
              <w:rPr>
                <w:noProof/>
                <w:webHidden/>
              </w:rPr>
              <w:fldChar w:fldCharType="end"/>
            </w:r>
          </w:hyperlink>
        </w:p>
        <w:p w14:paraId="0D4423B1" w14:textId="55A9B58C" w:rsidR="00976B3D" w:rsidRDefault="00763C03">
          <w:pPr>
            <w:pStyle w:val="TOC3"/>
            <w:tabs>
              <w:tab w:val="right" w:leader="dot" w:pos="8920"/>
            </w:tabs>
            <w:rPr>
              <w:rFonts w:eastAsiaTheme="minorEastAsia" w:cstheme="minorBidi"/>
              <w:noProof/>
              <w:kern w:val="2"/>
              <w:lang w:eastAsia="lv-LV"/>
              <w14:ligatures w14:val="standardContextual"/>
            </w:rPr>
          </w:pPr>
          <w:hyperlink w:anchor="_Toc167452318" w:history="1">
            <w:r w:rsidR="00976B3D" w:rsidRPr="00E3405E">
              <w:rPr>
                <w:rStyle w:val="Hyperlink"/>
                <w:noProof/>
              </w:rPr>
              <w:t>Pašreizējās augstākās izglītības finansēšanas sistēmas trūkumi</w:t>
            </w:r>
            <w:r w:rsidR="00976B3D">
              <w:rPr>
                <w:noProof/>
                <w:webHidden/>
              </w:rPr>
              <w:tab/>
            </w:r>
            <w:r w:rsidR="00976B3D">
              <w:rPr>
                <w:noProof/>
                <w:webHidden/>
              </w:rPr>
              <w:fldChar w:fldCharType="begin"/>
            </w:r>
            <w:r w:rsidR="00976B3D">
              <w:rPr>
                <w:noProof/>
                <w:webHidden/>
              </w:rPr>
              <w:instrText xml:space="preserve"> PAGEREF _Toc167452318 \h </w:instrText>
            </w:r>
            <w:r w:rsidR="00976B3D">
              <w:rPr>
                <w:noProof/>
                <w:webHidden/>
              </w:rPr>
            </w:r>
            <w:r w:rsidR="00976B3D">
              <w:rPr>
                <w:noProof/>
                <w:webHidden/>
              </w:rPr>
              <w:fldChar w:fldCharType="separate"/>
            </w:r>
            <w:r w:rsidR="00976B3D">
              <w:rPr>
                <w:noProof/>
                <w:webHidden/>
              </w:rPr>
              <w:t>9</w:t>
            </w:r>
            <w:r w:rsidR="00976B3D">
              <w:rPr>
                <w:noProof/>
                <w:webHidden/>
              </w:rPr>
              <w:fldChar w:fldCharType="end"/>
            </w:r>
          </w:hyperlink>
        </w:p>
        <w:p w14:paraId="0A19F640" w14:textId="1EEDBC39" w:rsidR="00976B3D" w:rsidRDefault="00763C03">
          <w:pPr>
            <w:pStyle w:val="TOC2"/>
            <w:tabs>
              <w:tab w:val="right" w:leader="dot" w:pos="8920"/>
            </w:tabs>
            <w:rPr>
              <w:rFonts w:eastAsiaTheme="minorEastAsia" w:cstheme="minorBidi"/>
              <w:noProof/>
              <w:kern w:val="2"/>
              <w:lang w:eastAsia="lv-LV"/>
              <w14:ligatures w14:val="standardContextual"/>
            </w:rPr>
          </w:pPr>
          <w:hyperlink w:anchor="_Toc167452319" w:history="1">
            <w:r w:rsidR="00976B3D" w:rsidRPr="00E3405E">
              <w:rPr>
                <w:rStyle w:val="Hyperlink"/>
                <w:noProof/>
              </w:rPr>
              <w:t>Pasaules tendences augstākās izglītības finansēšanā</w:t>
            </w:r>
            <w:r w:rsidR="00976B3D">
              <w:rPr>
                <w:noProof/>
                <w:webHidden/>
              </w:rPr>
              <w:tab/>
            </w:r>
            <w:r w:rsidR="00976B3D">
              <w:rPr>
                <w:noProof/>
                <w:webHidden/>
              </w:rPr>
              <w:fldChar w:fldCharType="begin"/>
            </w:r>
            <w:r w:rsidR="00976B3D">
              <w:rPr>
                <w:noProof/>
                <w:webHidden/>
              </w:rPr>
              <w:instrText xml:space="preserve"> PAGEREF _Toc167452319 \h </w:instrText>
            </w:r>
            <w:r w:rsidR="00976B3D">
              <w:rPr>
                <w:noProof/>
                <w:webHidden/>
              </w:rPr>
            </w:r>
            <w:r w:rsidR="00976B3D">
              <w:rPr>
                <w:noProof/>
                <w:webHidden/>
              </w:rPr>
              <w:fldChar w:fldCharType="separate"/>
            </w:r>
            <w:r w:rsidR="00976B3D">
              <w:rPr>
                <w:noProof/>
                <w:webHidden/>
              </w:rPr>
              <w:t>12</w:t>
            </w:r>
            <w:r w:rsidR="00976B3D">
              <w:rPr>
                <w:noProof/>
                <w:webHidden/>
              </w:rPr>
              <w:fldChar w:fldCharType="end"/>
            </w:r>
          </w:hyperlink>
        </w:p>
        <w:p w14:paraId="2108AA87" w14:textId="71B453B6" w:rsidR="00976B3D" w:rsidRDefault="00763C03">
          <w:pPr>
            <w:pStyle w:val="TOC1"/>
            <w:tabs>
              <w:tab w:val="right" w:leader="dot" w:pos="8920"/>
            </w:tabs>
            <w:rPr>
              <w:rFonts w:eastAsiaTheme="minorEastAsia" w:cstheme="minorBidi"/>
              <w:noProof/>
              <w:kern w:val="2"/>
              <w:lang w:eastAsia="lv-LV"/>
              <w14:ligatures w14:val="standardContextual"/>
            </w:rPr>
          </w:pPr>
          <w:hyperlink w:anchor="_Toc167452320" w:history="1">
            <w:r w:rsidR="00976B3D" w:rsidRPr="00E3405E">
              <w:rPr>
                <w:rStyle w:val="Hyperlink"/>
                <w:noProof/>
              </w:rPr>
              <w:t>Aktualizētais augstākās izglītības finansēšanas modelis</w:t>
            </w:r>
            <w:r w:rsidR="00976B3D">
              <w:rPr>
                <w:noProof/>
                <w:webHidden/>
              </w:rPr>
              <w:tab/>
            </w:r>
            <w:r w:rsidR="00976B3D">
              <w:rPr>
                <w:noProof/>
                <w:webHidden/>
              </w:rPr>
              <w:fldChar w:fldCharType="begin"/>
            </w:r>
            <w:r w:rsidR="00976B3D">
              <w:rPr>
                <w:noProof/>
                <w:webHidden/>
              </w:rPr>
              <w:instrText xml:space="preserve"> PAGEREF _Toc167452320 \h </w:instrText>
            </w:r>
            <w:r w:rsidR="00976B3D">
              <w:rPr>
                <w:noProof/>
                <w:webHidden/>
              </w:rPr>
            </w:r>
            <w:r w:rsidR="00976B3D">
              <w:rPr>
                <w:noProof/>
                <w:webHidden/>
              </w:rPr>
              <w:fldChar w:fldCharType="separate"/>
            </w:r>
            <w:r w:rsidR="00976B3D">
              <w:rPr>
                <w:noProof/>
                <w:webHidden/>
              </w:rPr>
              <w:t>16</w:t>
            </w:r>
            <w:r w:rsidR="00976B3D">
              <w:rPr>
                <w:noProof/>
                <w:webHidden/>
              </w:rPr>
              <w:fldChar w:fldCharType="end"/>
            </w:r>
          </w:hyperlink>
        </w:p>
        <w:p w14:paraId="6482B623" w14:textId="01C9B7E7" w:rsidR="00976B3D" w:rsidRDefault="00763C03">
          <w:pPr>
            <w:pStyle w:val="TOC2"/>
            <w:tabs>
              <w:tab w:val="right" w:leader="dot" w:pos="8920"/>
            </w:tabs>
            <w:rPr>
              <w:rFonts w:eastAsiaTheme="minorEastAsia" w:cstheme="minorBidi"/>
              <w:noProof/>
              <w:kern w:val="2"/>
              <w:lang w:eastAsia="lv-LV"/>
              <w14:ligatures w14:val="standardContextual"/>
            </w:rPr>
          </w:pPr>
          <w:hyperlink w:anchor="_Toc167452321" w:history="1">
            <w:r w:rsidR="00976B3D" w:rsidRPr="00E3405E">
              <w:rPr>
                <w:rStyle w:val="Hyperlink"/>
                <w:noProof/>
              </w:rPr>
              <w:t>Augstākās izglītības iestāžu finansēšana</w:t>
            </w:r>
            <w:r w:rsidR="00976B3D">
              <w:rPr>
                <w:noProof/>
                <w:webHidden/>
              </w:rPr>
              <w:tab/>
            </w:r>
            <w:r w:rsidR="00976B3D">
              <w:rPr>
                <w:noProof/>
                <w:webHidden/>
              </w:rPr>
              <w:fldChar w:fldCharType="begin"/>
            </w:r>
            <w:r w:rsidR="00976B3D">
              <w:rPr>
                <w:noProof/>
                <w:webHidden/>
              </w:rPr>
              <w:instrText xml:space="preserve"> PAGEREF _Toc167452321 \h </w:instrText>
            </w:r>
            <w:r w:rsidR="00976B3D">
              <w:rPr>
                <w:noProof/>
                <w:webHidden/>
              </w:rPr>
            </w:r>
            <w:r w:rsidR="00976B3D">
              <w:rPr>
                <w:noProof/>
                <w:webHidden/>
              </w:rPr>
              <w:fldChar w:fldCharType="separate"/>
            </w:r>
            <w:r w:rsidR="00976B3D">
              <w:rPr>
                <w:noProof/>
                <w:webHidden/>
              </w:rPr>
              <w:t>17</w:t>
            </w:r>
            <w:r w:rsidR="00976B3D">
              <w:rPr>
                <w:noProof/>
                <w:webHidden/>
              </w:rPr>
              <w:fldChar w:fldCharType="end"/>
            </w:r>
          </w:hyperlink>
        </w:p>
        <w:p w14:paraId="0592464B" w14:textId="32138D54" w:rsidR="00976B3D" w:rsidRDefault="00763C03">
          <w:pPr>
            <w:pStyle w:val="TOC3"/>
            <w:tabs>
              <w:tab w:val="right" w:leader="dot" w:pos="8920"/>
            </w:tabs>
            <w:rPr>
              <w:rFonts w:eastAsiaTheme="minorEastAsia" w:cstheme="minorBidi"/>
              <w:noProof/>
              <w:kern w:val="2"/>
              <w:lang w:eastAsia="lv-LV"/>
              <w14:ligatures w14:val="standardContextual"/>
            </w:rPr>
          </w:pPr>
          <w:hyperlink w:anchor="_Toc167452322" w:history="1">
            <w:r w:rsidR="00976B3D" w:rsidRPr="00E3405E">
              <w:rPr>
                <w:rStyle w:val="Hyperlink"/>
                <w:noProof/>
              </w:rPr>
              <w:t>Institucionālais finansējums jeb bāzes finansējums</w:t>
            </w:r>
            <w:r w:rsidR="00976B3D">
              <w:rPr>
                <w:noProof/>
                <w:webHidden/>
              </w:rPr>
              <w:tab/>
            </w:r>
            <w:r w:rsidR="00976B3D">
              <w:rPr>
                <w:noProof/>
                <w:webHidden/>
              </w:rPr>
              <w:fldChar w:fldCharType="begin"/>
            </w:r>
            <w:r w:rsidR="00976B3D">
              <w:rPr>
                <w:noProof/>
                <w:webHidden/>
              </w:rPr>
              <w:instrText xml:space="preserve"> PAGEREF _Toc167452322 \h </w:instrText>
            </w:r>
            <w:r w:rsidR="00976B3D">
              <w:rPr>
                <w:noProof/>
                <w:webHidden/>
              </w:rPr>
            </w:r>
            <w:r w:rsidR="00976B3D">
              <w:rPr>
                <w:noProof/>
                <w:webHidden/>
              </w:rPr>
              <w:fldChar w:fldCharType="separate"/>
            </w:r>
            <w:r w:rsidR="00976B3D">
              <w:rPr>
                <w:noProof/>
                <w:webHidden/>
              </w:rPr>
              <w:t>17</w:t>
            </w:r>
            <w:r w:rsidR="00976B3D">
              <w:rPr>
                <w:noProof/>
                <w:webHidden/>
              </w:rPr>
              <w:fldChar w:fldCharType="end"/>
            </w:r>
          </w:hyperlink>
        </w:p>
        <w:p w14:paraId="579F5C19" w14:textId="4C9D6C47" w:rsidR="00976B3D" w:rsidRDefault="00763C03">
          <w:pPr>
            <w:pStyle w:val="TOC3"/>
            <w:tabs>
              <w:tab w:val="right" w:leader="dot" w:pos="8920"/>
            </w:tabs>
            <w:rPr>
              <w:rFonts w:eastAsiaTheme="minorEastAsia" w:cstheme="minorBidi"/>
              <w:noProof/>
              <w:kern w:val="2"/>
              <w:lang w:eastAsia="lv-LV"/>
              <w14:ligatures w14:val="standardContextual"/>
            </w:rPr>
          </w:pPr>
          <w:hyperlink w:anchor="_Toc167452323" w:history="1">
            <w:r w:rsidR="00976B3D" w:rsidRPr="00E3405E">
              <w:rPr>
                <w:rStyle w:val="Hyperlink"/>
                <w:noProof/>
              </w:rPr>
              <w:t>Snieguma finansējums</w:t>
            </w:r>
            <w:r w:rsidR="00976B3D">
              <w:rPr>
                <w:noProof/>
                <w:webHidden/>
              </w:rPr>
              <w:tab/>
            </w:r>
            <w:r w:rsidR="00976B3D">
              <w:rPr>
                <w:noProof/>
                <w:webHidden/>
              </w:rPr>
              <w:fldChar w:fldCharType="begin"/>
            </w:r>
            <w:r w:rsidR="00976B3D">
              <w:rPr>
                <w:noProof/>
                <w:webHidden/>
              </w:rPr>
              <w:instrText xml:space="preserve"> PAGEREF _Toc167452323 \h </w:instrText>
            </w:r>
            <w:r w:rsidR="00976B3D">
              <w:rPr>
                <w:noProof/>
                <w:webHidden/>
              </w:rPr>
            </w:r>
            <w:r w:rsidR="00976B3D">
              <w:rPr>
                <w:noProof/>
                <w:webHidden/>
              </w:rPr>
              <w:fldChar w:fldCharType="separate"/>
            </w:r>
            <w:r w:rsidR="00976B3D">
              <w:rPr>
                <w:noProof/>
                <w:webHidden/>
              </w:rPr>
              <w:t>20</w:t>
            </w:r>
            <w:r w:rsidR="00976B3D">
              <w:rPr>
                <w:noProof/>
                <w:webHidden/>
              </w:rPr>
              <w:fldChar w:fldCharType="end"/>
            </w:r>
          </w:hyperlink>
        </w:p>
        <w:p w14:paraId="179D1568" w14:textId="722981DC" w:rsidR="00976B3D" w:rsidRDefault="00763C03">
          <w:pPr>
            <w:pStyle w:val="TOC3"/>
            <w:tabs>
              <w:tab w:val="right" w:leader="dot" w:pos="8920"/>
            </w:tabs>
            <w:rPr>
              <w:rFonts w:eastAsiaTheme="minorEastAsia" w:cstheme="minorBidi"/>
              <w:noProof/>
              <w:kern w:val="2"/>
              <w:lang w:eastAsia="lv-LV"/>
              <w14:ligatures w14:val="standardContextual"/>
            </w:rPr>
          </w:pPr>
          <w:hyperlink w:anchor="_Toc167452324" w:history="1">
            <w:r w:rsidR="00976B3D" w:rsidRPr="00E3405E">
              <w:rPr>
                <w:rStyle w:val="Hyperlink"/>
                <w:noProof/>
              </w:rPr>
              <w:t>Attīstības finansējums</w:t>
            </w:r>
            <w:r w:rsidR="00976B3D">
              <w:rPr>
                <w:noProof/>
                <w:webHidden/>
              </w:rPr>
              <w:tab/>
            </w:r>
            <w:r w:rsidR="00976B3D">
              <w:rPr>
                <w:noProof/>
                <w:webHidden/>
              </w:rPr>
              <w:fldChar w:fldCharType="begin"/>
            </w:r>
            <w:r w:rsidR="00976B3D">
              <w:rPr>
                <w:noProof/>
                <w:webHidden/>
              </w:rPr>
              <w:instrText xml:space="preserve"> PAGEREF _Toc167452324 \h </w:instrText>
            </w:r>
            <w:r w:rsidR="00976B3D">
              <w:rPr>
                <w:noProof/>
                <w:webHidden/>
              </w:rPr>
            </w:r>
            <w:r w:rsidR="00976B3D">
              <w:rPr>
                <w:noProof/>
                <w:webHidden/>
              </w:rPr>
              <w:fldChar w:fldCharType="separate"/>
            </w:r>
            <w:r w:rsidR="00976B3D">
              <w:rPr>
                <w:noProof/>
                <w:webHidden/>
              </w:rPr>
              <w:t>23</w:t>
            </w:r>
            <w:r w:rsidR="00976B3D">
              <w:rPr>
                <w:noProof/>
                <w:webHidden/>
              </w:rPr>
              <w:fldChar w:fldCharType="end"/>
            </w:r>
          </w:hyperlink>
        </w:p>
        <w:p w14:paraId="004B06F5" w14:textId="20E013CD" w:rsidR="00976B3D" w:rsidRDefault="00763C03">
          <w:pPr>
            <w:pStyle w:val="TOC2"/>
            <w:tabs>
              <w:tab w:val="right" w:leader="dot" w:pos="8920"/>
            </w:tabs>
            <w:rPr>
              <w:rFonts w:eastAsiaTheme="minorEastAsia" w:cstheme="minorBidi"/>
              <w:noProof/>
              <w:kern w:val="2"/>
              <w:lang w:eastAsia="lv-LV"/>
              <w14:ligatures w14:val="standardContextual"/>
            </w:rPr>
          </w:pPr>
          <w:hyperlink w:anchor="_Toc167452325" w:history="1">
            <w:r w:rsidR="00976B3D" w:rsidRPr="00E3405E">
              <w:rPr>
                <w:rStyle w:val="Hyperlink"/>
                <w:noProof/>
              </w:rPr>
              <w:t>Studējošo finansēšana no valsts puses</w:t>
            </w:r>
            <w:r w:rsidR="00976B3D">
              <w:rPr>
                <w:noProof/>
                <w:webHidden/>
              </w:rPr>
              <w:tab/>
            </w:r>
            <w:r w:rsidR="00976B3D">
              <w:rPr>
                <w:noProof/>
                <w:webHidden/>
              </w:rPr>
              <w:fldChar w:fldCharType="begin"/>
            </w:r>
            <w:r w:rsidR="00976B3D">
              <w:rPr>
                <w:noProof/>
                <w:webHidden/>
              </w:rPr>
              <w:instrText xml:space="preserve"> PAGEREF _Toc167452325 \h </w:instrText>
            </w:r>
            <w:r w:rsidR="00976B3D">
              <w:rPr>
                <w:noProof/>
                <w:webHidden/>
              </w:rPr>
            </w:r>
            <w:r w:rsidR="00976B3D">
              <w:rPr>
                <w:noProof/>
                <w:webHidden/>
              </w:rPr>
              <w:fldChar w:fldCharType="separate"/>
            </w:r>
            <w:r w:rsidR="00976B3D">
              <w:rPr>
                <w:noProof/>
                <w:webHidden/>
              </w:rPr>
              <w:t>26</w:t>
            </w:r>
            <w:r w:rsidR="00976B3D">
              <w:rPr>
                <w:noProof/>
                <w:webHidden/>
              </w:rPr>
              <w:fldChar w:fldCharType="end"/>
            </w:r>
          </w:hyperlink>
        </w:p>
        <w:p w14:paraId="5956A61E" w14:textId="7E4D0454" w:rsidR="00976B3D" w:rsidRDefault="00763C03">
          <w:pPr>
            <w:pStyle w:val="TOC3"/>
            <w:tabs>
              <w:tab w:val="right" w:leader="dot" w:pos="8920"/>
            </w:tabs>
            <w:rPr>
              <w:rFonts w:eastAsiaTheme="minorEastAsia" w:cstheme="minorBidi"/>
              <w:noProof/>
              <w:kern w:val="2"/>
              <w:lang w:eastAsia="lv-LV"/>
              <w14:ligatures w14:val="standardContextual"/>
            </w:rPr>
          </w:pPr>
          <w:hyperlink w:anchor="_Toc167452326" w:history="1">
            <w:r w:rsidR="00976B3D" w:rsidRPr="00E3405E">
              <w:rPr>
                <w:rStyle w:val="Hyperlink"/>
                <w:rFonts w:eastAsia="Calibri"/>
                <w:noProof/>
              </w:rPr>
              <w:t>Studiju jomas stipendijas, kuru mērķis būtu atbalstīt izvēli par labu kādai noteiktai studiju jomai.</w:t>
            </w:r>
            <w:r w:rsidR="00976B3D" w:rsidRPr="00E3405E">
              <w:rPr>
                <w:rStyle w:val="Hyperlink"/>
                <w:noProof/>
              </w:rPr>
              <w:t>Sociālās stipendijas</w:t>
            </w:r>
            <w:r w:rsidR="00976B3D">
              <w:rPr>
                <w:noProof/>
                <w:webHidden/>
              </w:rPr>
              <w:tab/>
            </w:r>
            <w:r w:rsidR="00976B3D">
              <w:rPr>
                <w:noProof/>
                <w:webHidden/>
              </w:rPr>
              <w:fldChar w:fldCharType="begin"/>
            </w:r>
            <w:r w:rsidR="00976B3D">
              <w:rPr>
                <w:noProof/>
                <w:webHidden/>
              </w:rPr>
              <w:instrText xml:space="preserve"> PAGEREF _Toc167452326 \h </w:instrText>
            </w:r>
            <w:r w:rsidR="00976B3D">
              <w:rPr>
                <w:noProof/>
                <w:webHidden/>
              </w:rPr>
            </w:r>
            <w:r w:rsidR="00976B3D">
              <w:rPr>
                <w:noProof/>
                <w:webHidden/>
              </w:rPr>
              <w:fldChar w:fldCharType="separate"/>
            </w:r>
            <w:r w:rsidR="00976B3D">
              <w:rPr>
                <w:noProof/>
                <w:webHidden/>
              </w:rPr>
              <w:t>26</w:t>
            </w:r>
            <w:r w:rsidR="00976B3D">
              <w:rPr>
                <w:noProof/>
                <w:webHidden/>
              </w:rPr>
              <w:fldChar w:fldCharType="end"/>
            </w:r>
          </w:hyperlink>
        </w:p>
        <w:p w14:paraId="6C2FA0D1" w14:textId="38A39062" w:rsidR="00976B3D" w:rsidRDefault="00763C03">
          <w:pPr>
            <w:pStyle w:val="TOC3"/>
            <w:tabs>
              <w:tab w:val="right" w:leader="dot" w:pos="8920"/>
            </w:tabs>
            <w:rPr>
              <w:rFonts w:eastAsiaTheme="minorEastAsia" w:cstheme="minorBidi"/>
              <w:noProof/>
              <w:kern w:val="2"/>
              <w:lang w:eastAsia="lv-LV"/>
              <w14:ligatures w14:val="standardContextual"/>
            </w:rPr>
          </w:pPr>
          <w:hyperlink w:anchor="_Toc167452327" w:history="1">
            <w:r w:rsidR="00976B3D" w:rsidRPr="00E3405E">
              <w:rPr>
                <w:rStyle w:val="Hyperlink"/>
                <w:noProof/>
              </w:rPr>
              <w:t>Izcilības stipendijas</w:t>
            </w:r>
            <w:r w:rsidR="00976B3D">
              <w:rPr>
                <w:noProof/>
                <w:webHidden/>
              </w:rPr>
              <w:tab/>
            </w:r>
            <w:r w:rsidR="00976B3D">
              <w:rPr>
                <w:noProof/>
                <w:webHidden/>
              </w:rPr>
              <w:fldChar w:fldCharType="begin"/>
            </w:r>
            <w:r w:rsidR="00976B3D">
              <w:rPr>
                <w:noProof/>
                <w:webHidden/>
              </w:rPr>
              <w:instrText xml:space="preserve"> PAGEREF _Toc167452327 \h </w:instrText>
            </w:r>
            <w:r w:rsidR="00976B3D">
              <w:rPr>
                <w:noProof/>
                <w:webHidden/>
              </w:rPr>
            </w:r>
            <w:r w:rsidR="00976B3D">
              <w:rPr>
                <w:noProof/>
                <w:webHidden/>
              </w:rPr>
              <w:fldChar w:fldCharType="separate"/>
            </w:r>
            <w:r w:rsidR="00976B3D">
              <w:rPr>
                <w:noProof/>
                <w:webHidden/>
              </w:rPr>
              <w:t>27</w:t>
            </w:r>
            <w:r w:rsidR="00976B3D">
              <w:rPr>
                <w:noProof/>
                <w:webHidden/>
              </w:rPr>
              <w:fldChar w:fldCharType="end"/>
            </w:r>
          </w:hyperlink>
        </w:p>
        <w:p w14:paraId="7A396AEF" w14:textId="09A7ECAA" w:rsidR="00976B3D" w:rsidRDefault="00763C03">
          <w:pPr>
            <w:pStyle w:val="TOC3"/>
            <w:tabs>
              <w:tab w:val="right" w:leader="dot" w:pos="8920"/>
            </w:tabs>
            <w:rPr>
              <w:rFonts w:eastAsiaTheme="minorEastAsia" w:cstheme="minorBidi"/>
              <w:noProof/>
              <w:kern w:val="2"/>
              <w:lang w:eastAsia="lv-LV"/>
              <w14:ligatures w14:val="standardContextual"/>
            </w:rPr>
          </w:pPr>
          <w:hyperlink w:anchor="_Toc167452328" w:history="1">
            <w:r w:rsidR="00976B3D" w:rsidRPr="00E3405E">
              <w:rPr>
                <w:rStyle w:val="Hyperlink"/>
                <w:noProof/>
              </w:rPr>
              <w:t>Jomas stipendijas</w:t>
            </w:r>
            <w:r w:rsidR="00976B3D">
              <w:rPr>
                <w:noProof/>
                <w:webHidden/>
              </w:rPr>
              <w:tab/>
            </w:r>
            <w:r w:rsidR="00976B3D">
              <w:rPr>
                <w:noProof/>
                <w:webHidden/>
              </w:rPr>
              <w:fldChar w:fldCharType="begin"/>
            </w:r>
            <w:r w:rsidR="00976B3D">
              <w:rPr>
                <w:noProof/>
                <w:webHidden/>
              </w:rPr>
              <w:instrText xml:space="preserve"> PAGEREF _Toc167452328 \h </w:instrText>
            </w:r>
            <w:r w:rsidR="00976B3D">
              <w:rPr>
                <w:noProof/>
                <w:webHidden/>
              </w:rPr>
            </w:r>
            <w:r w:rsidR="00976B3D">
              <w:rPr>
                <w:noProof/>
                <w:webHidden/>
              </w:rPr>
              <w:fldChar w:fldCharType="separate"/>
            </w:r>
            <w:r w:rsidR="00976B3D">
              <w:rPr>
                <w:noProof/>
                <w:webHidden/>
              </w:rPr>
              <w:t>28</w:t>
            </w:r>
            <w:r w:rsidR="00976B3D">
              <w:rPr>
                <w:noProof/>
                <w:webHidden/>
              </w:rPr>
              <w:fldChar w:fldCharType="end"/>
            </w:r>
          </w:hyperlink>
        </w:p>
        <w:p w14:paraId="07C83A27" w14:textId="3265A8B0" w:rsidR="00976B3D" w:rsidRDefault="00763C03">
          <w:pPr>
            <w:pStyle w:val="TOC1"/>
            <w:tabs>
              <w:tab w:val="right" w:leader="dot" w:pos="8920"/>
            </w:tabs>
            <w:rPr>
              <w:rFonts w:eastAsiaTheme="minorEastAsia" w:cstheme="minorBidi"/>
              <w:noProof/>
              <w:kern w:val="2"/>
              <w:lang w:eastAsia="lv-LV"/>
              <w14:ligatures w14:val="standardContextual"/>
            </w:rPr>
          </w:pPr>
          <w:hyperlink w:anchor="_Toc167452329" w:history="1">
            <w:r w:rsidR="00976B3D" w:rsidRPr="00E3405E">
              <w:rPr>
                <w:rStyle w:val="Hyperlink"/>
                <w:noProof/>
              </w:rPr>
              <w:t>Sistēmas snieguma  uzraudzības pilnveide</w:t>
            </w:r>
            <w:r w:rsidR="00976B3D">
              <w:rPr>
                <w:noProof/>
                <w:webHidden/>
              </w:rPr>
              <w:tab/>
            </w:r>
            <w:r w:rsidR="00976B3D">
              <w:rPr>
                <w:noProof/>
                <w:webHidden/>
              </w:rPr>
              <w:fldChar w:fldCharType="begin"/>
            </w:r>
            <w:r w:rsidR="00976B3D">
              <w:rPr>
                <w:noProof/>
                <w:webHidden/>
              </w:rPr>
              <w:instrText xml:space="preserve"> PAGEREF _Toc167452329 \h </w:instrText>
            </w:r>
            <w:r w:rsidR="00976B3D">
              <w:rPr>
                <w:noProof/>
                <w:webHidden/>
              </w:rPr>
            </w:r>
            <w:r w:rsidR="00976B3D">
              <w:rPr>
                <w:noProof/>
                <w:webHidden/>
              </w:rPr>
              <w:fldChar w:fldCharType="separate"/>
            </w:r>
            <w:r w:rsidR="00976B3D">
              <w:rPr>
                <w:noProof/>
                <w:webHidden/>
              </w:rPr>
              <w:t>28</w:t>
            </w:r>
            <w:r w:rsidR="00976B3D">
              <w:rPr>
                <w:noProof/>
                <w:webHidden/>
              </w:rPr>
              <w:fldChar w:fldCharType="end"/>
            </w:r>
          </w:hyperlink>
        </w:p>
        <w:p w14:paraId="276BB03A" w14:textId="713D6E96" w:rsidR="00976B3D" w:rsidRDefault="00763C03">
          <w:pPr>
            <w:pStyle w:val="TOC1"/>
            <w:tabs>
              <w:tab w:val="right" w:leader="dot" w:pos="8920"/>
            </w:tabs>
            <w:rPr>
              <w:rFonts w:eastAsiaTheme="minorEastAsia" w:cstheme="minorBidi"/>
              <w:noProof/>
              <w:kern w:val="2"/>
              <w:lang w:eastAsia="lv-LV"/>
              <w14:ligatures w14:val="standardContextual"/>
            </w:rPr>
          </w:pPr>
          <w:hyperlink w:anchor="_Toc167452330" w:history="1">
            <w:r w:rsidR="00976B3D" w:rsidRPr="00E3405E">
              <w:rPr>
                <w:rStyle w:val="Hyperlink"/>
                <w:noProof/>
              </w:rPr>
              <w:t>Riski, ja situācija nemainās</w:t>
            </w:r>
            <w:r w:rsidR="00976B3D">
              <w:rPr>
                <w:noProof/>
                <w:webHidden/>
              </w:rPr>
              <w:tab/>
            </w:r>
            <w:r w:rsidR="00976B3D">
              <w:rPr>
                <w:noProof/>
                <w:webHidden/>
              </w:rPr>
              <w:fldChar w:fldCharType="begin"/>
            </w:r>
            <w:r w:rsidR="00976B3D">
              <w:rPr>
                <w:noProof/>
                <w:webHidden/>
              </w:rPr>
              <w:instrText xml:space="preserve"> PAGEREF _Toc167452330 \h </w:instrText>
            </w:r>
            <w:r w:rsidR="00976B3D">
              <w:rPr>
                <w:noProof/>
                <w:webHidden/>
              </w:rPr>
            </w:r>
            <w:r w:rsidR="00976B3D">
              <w:rPr>
                <w:noProof/>
                <w:webHidden/>
              </w:rPr>
              <w:fldChar w:fldCharType="separate"/>
            </w:r>
            <w:r w:rsidR="00976B3D">
              <w:rPr>
                <w:noProof/>
                <w:webHidden/>
              </w:rPr>
              <w:t>29</w:t>
            </w:r>
            <w:r w:rsidR="00976B3D">
              <w:rPr>
                <w:noProof/>
                <w:webHidden/>
              </w:rPr>
              <w:fldChar w:fldCharType="end"/>
            </w:r>
          </w:hyperlink>
        </w:p>
        <w:p w14:paraId="6954748A" w14:textId="2BE9160F" w:rsidR="00976B3D" w:rsidRDefault="00763C03">
          <w:pPr>
            <w:pStyle w:val="TOC1"/>
            <w:tabs>
              <w:tab w:val="right" w:leader="dot" w:pos="8920"/>
            </w:tabs>
            <w:rPr>
              <w:rFonts w:eastAsiaTheme="minorEastAsia" w:cstheme="minorBidi"/>
              <w:noProof/>
              <w:kern w:val="2"/>
              <w:lang w:eastAsia="lv-LV"/>
              <w14:ligatures w14:val="standardContextual"/>
            </w:rPr>
          </w:pPr>
          <w:hyperlink w:anchor="_Toc167452331" w:history="1">
            <w:r w:rsidR="00976B3D" w:rsidRPr="00E3405E">
              <w:rPr>
                <w:rStyle w:val="Hyperlink"/>
                <w:noProof/>
              </w:rPr>
              <w:t>Pārejas posma rīcība – Institucionāla finansējuma izmēģinājumprojekts</w:t>
            </w:r>
            <w:r w:rsidR="00976B3D">
              <w:rPr>
                <w:noProof/>
                <w:webHidden/>
              </w:rPr>
              <w:tab/>
            </w:r>
            <w:r w:rsidR="00976B3D">
              <w:rPr>
                <w:noProof/>
                <w:webHidden/>
              </w:rPr>
              <w:fldChar w:fldCharType="begin"/>
            </w:r>
            <w:r w:rsidR="00976B3D">
              <w:rPr>
                <w:noProof/>
                <w:webHidden/>
              </w:rPr>
              <w:instrText xml:space="preserve"> PAGEREF _Toc167452331 \h </w:instrText>
            </w:r>
            <w:r w:rsidR="00976B3D">
              <w:rPr>
                <w:noProof/>
                <w:webHidden/>
              </w:rPr>
            </w:r>
            <w:r w:rsidR="00976B3D">
              <w:rPr>
                <w:noProof/>
                <w:webHidden/>
              </w:rPr>
              <w:fldChar w:fldCharType="separate"/>
            </w:r>
            <w:r w:rsidR="00976B3D">
              <w:rPr>
                <w:noProof/>
                <w:webHidden/>
              </w:rPr>
              <w:t>30</w:t>
            </w:r>
            <w:r w:rsidR="00976B3D">
              <w:rPr>
                <w:noProof/>
                <w:webHidden/>
              </w:rPr>
              <w:fldChar w:fldCharType="end"/>
            </w:r>
          </w:hyperlink>
        </w:p>
        <w:p w14:paraId="6807B94F" w14:textId="02A1FCBE" w:rsidR="00976B3D" w:rsidRDefault="00763C03">
          <w:pPr>
            <w:pStyle w:val="TOC1"/>
            <w:tabs>
              <w:tab w:val="right" w:leader="dot" w:pos="8920"/>
            </w:tabs>
            <w:rPr>
              <w:rFonts w:eastAsiaTheme="minorEastAsia" w:cstheme="minorBidi"/>
              <w:noProof/>
              <w:kern w:val="2"/>
              <w:lang w:eastAsia="lv-LV"/>
              <w14:ligatures w14:val="standardContextual"/>
            </w:rPr>
          </w:pPr>
          <w:hyperlink w:anchor="_Toc167452332" w:history="1">
            <w:r w:rsidR="00976B3D" w:rsidRPr="00E3405E">
              <w:rPr>
                <w:rStyle w:val="Hyperlink"/>
                <w:noProof/>
              </w:rPr>
              <w:t>Nepieciešamās izmaiņas normatīvajā regulējumā:</w:t>
            </w:r>
            <w:r w:rsidR="00976B3D">
              <w:rPr>
                <w:noProof/>
                <w:webHidden/>
              </w:rPr>
              <w:tab/>
            </w:r>
            <w:r w:rsidR="00976B3D">
              <w:rPr>
                <w:noProof/>
                <w:webHidden/>
              </w:rPr>
              <w:fldChar w:fldCharType="begin"/>
            </w:r>
            <w:r w:rsidR="00976B3D">
              <w:rPr>
                <w:noProof/>
                <w:webHidden/>
              </w:rPr>
              <w:instrText xml:space="preserve"> PAGEREF _Toc167452332 \h </w:instrText>
            </w:r>
            <w:r w:rsidR="00976B3D">
              <w:rPr>
                <w:noProof/>
                <w:webHidden/>
              </w:rPr>
            </w:r>
            <w:r w:rsidR="00976B3D">
              <w:rPr>
                <w:noProof/>
                <w:webHidden/>
              </w:rPr>
              <w:fldChar w:fldCharType="separate"/>
            </w:r>
            <w:r w:rsidR="00976B3D">
              <w:rPr>
                <w:noProof/>
                <w:webHidden/>
              </w:rPr>
              <w:t>35</w:t>
            </w:r>
            <w:r w:rsidR="00976B3D">
              <w:rPr>
                <w:noProof/>
                <w:webHidden/>
              </w:rPr>
              <w:fldChar w:fldCharType="end"/>
            </w:r>
          </w:hyperlink>
        </w:p>
        <w:p w14:paraId="0B5CEA1D" w14:textId="72AF633D" w:rsidR="00976B3D" w:rsidRDefault="00763C03">
          <w:pPr>
            <w:pStyle w:val="TOC1"/>
            <w:tabs>
              <w:tab w:val="right" w:leader="dot" w:pos="8920"/>
            </w:tabs>
            <w:rPr>
              <w:rFonts w:eastAsiaTheme="minorEastAsia" w:cstheme="minorBidi"/>
              <w:noProof/>
              <w:kern w:val="2"/>
              <w:lang w:eastAsia="lv-LV"/>
              <w14:ligatures w14:val="standardContextual"/>
            </w:rPr>
          </w:pPr>
          <w:hyperlink w:anchor="_Toc167452333" w:history="1">
            <w:r w:rsidR="00976B3D" w:rsidRPr="00E3405E">
              <w:rPr>
                <w:rStyle w:val="Hyperlink"/>
                <w:noProof/>
              </w:rPr>
              <w:t>Ietekme uz budžetu</w:t>
            </w:r>
            <w:r w:rsidR="00976B3D">
              <w:rPr>
                <w:noProof/>
                <w:webHidden/>
              </w:rPr>
              <w:tab/>
            </w:r>
            <w:r w:rsidR="00976B3D">
              <w:rPr>
                <w:noProof/>
                <w:webHidden/>
              </w:rPr>
              <w:fldChar w:fldCharType="begin"/>
            </w:r>
            <w:r w:rsidR="00976B3D">
              <w:rPr>
                <w:noProof/>
                <w:webHidden/>
              </w:rPr>
              <w:instrText xml:space="preserve"> PAGEREF _Toc167452333 \h </w:instrText>
            </w:r>
            <w:r w:rsidR="00976B3D">
              <w:rPr>
                <w:noProof/>
                <w:webHidden/>
              </w:rPr>
            </w:r>
            <w:r w:rsidR="00976B3D">
              <w:rPr>
                <w:noProof/>
                <w:webHidden/>
              </w:rPr>
              <w:fldChar w:fldCharType="separate"/>
            </w:r>
            <w:r w:rsidR="00976B3D">
              <w:rPr>
                <w:noProof/>
                <w:webHidden/>
              </w:rPr>
              <w:t>35</w:t>
            </w:r>
            <w:r w:rsidR="00976B3D">
              <w:rPr>
                <w:noProof/>
                <w:webHidden/>
              </w:rPr>
              <w:fldChar w:fldCharType="end"/>
            </w:r>
          </w:hyperlink>
        </w:p>
        <w:p w14:paraId="068E08EB" w14:textId="3B2B6E1F" w:rsidR="00976B3D" w:rsidRDefault="00763C03">
          <w:pPr>
            <w:pStyle w:val="TOC2"/>
            <w:tabs>
              <w:tab w:val="right" w:leader="dot" w:pos="8920"/>
            </w:tabs>
            <w:rPr>
              <w:rFonts w:eastAsiaTheme="minorEastAsia" w:cstheme="minorBidi"/>
              <w:noProof/>
              <w:kern w:val="2"/>
              <w:lang w:eastAsia="lv-LV"/>
              <w14:ligatures w14:val="standardContextual"/>
            </w:rPr>
          </w:pPr>
          <w:hyperlink w:anchor="_Toc167452334" w:history="1">
            <w:r w:rsidR="00976B3D" w:rsidRPr="00E3405E">
              <w:rPr>
                <w:rStyle w:val="Hyperlink"/>
                <w:noProof/>
              </w:rPr>
              <w:t>Scenārijs A – Esošais Finansējums</w:t>
            </w:r>
            <w:r w:rsidR="00976B3D">
              <w:rPr>
                <w:noProof/>
                <w:webHidden/>
              </w:rPr>
              <w:tab/>
            </w:r>
            <w:r w:rsidR="00976B3D">
              <w:rPr>
                <w:noProof/>
                <w:webHidden/>
              </w:rPr>
              <w:fldChar w:fldCharType="begin"/>
            </w:r>
            <w:r w:rsidR="00976B3D">
              <w:rPr>
                <w:noProof/>
                <w:webHidden/>
              </w:rPr>
              <w:instrText xml:space="preserve"> PAGEREF _Toc167452334 \h </w:instrText>
            </w:r>
            <w:r w:rsidR="00976B3D">
              <w:rPr>
                <w:noProof/>
                <w:webHidden/>
              </w:rPr>
            </w:r>
            <w:r w:rsidR="00976B3D">
              <w:rPr>
                <w:noProof/>
                <w:webHidden/>
              </w:rPr>
              <w:fldChar w:fldCharType="separate"/>
            </w:r>
            <w:r w:rsidR="00976B3D">
              <w:rPr>
                <w:noProof/>
                <w:webHidden/>
              </w:rPr>
              <w:t>37</w:t>
            </w:r>
            <w:r w:rsidR="00976B3D">
              <w:rPr>
                <w:noProof/>
                <w:webHidden/>
              </w:rPr>
              <w:fldChar w:fldCharType="end"/>
            </w:r>
          </w:hyperlink>
        </w:p>
        <w:p w14:paraId="11F8E38F" w14:textId="525901B3" w:rsidR="00976B3D" w:rsidRDefault="00763C03">
          <w:pPr>
            <w:pStyle w:val="TOC2"/>
            <w:tabs>
              <w:tab w:val="right" w:leader="dot" w:pos="8920"/>
            </w:tabs>
            <w:rPr>
              <w:rFonts w:eastAsiaTheme="minorEastAsia" w:cstheme="minorBidi"/>
              <w:noProof/>
              <w:kern w:val="2"/>
              <w:lang w:eastAsia="lv-LV"/>
              <w14:ligatures w14:val="standardContextual"/>
            </w:rPr>
          </w:pPr>
          <w:hyperlink w:anchor="_Toc167452335" w:history="1">
            <w:r w:rsidR="00976B3D" w:rsidRPr="00E3405E">
              <w:rPr>
                <w:rStyle w:val="Hyperlink"/>
                <w:noProof/>
              </w:rPr>
              <w:t>Scenārijs B – Izmēģinājumprojekta rezultātos balstīta sistēmiska pāreja uz institucionālo finansējumu</w:t>
            </w:r>
            <w:r w:rsidR="00976B3D">
              <w:rPr>
                <w:noProof/>
                <w:webHidden/>
              </w:rPr>
              <w:tab/>
            </w:r>
            <w:r w:rsidR="00976B3D">
              <w:rPr>
                <w:noProof/>
                <w:webHidden/>
              </w:rPr>
              <w:fldChar w:fldCharType="begin"/>
            </w:r>
            <w:r w:rsidR="00976B3D">
              <w:rPr>
                <w:noProof/>
                <w:webHidden/>
              </w:rPr>
              <w:instrText xml:space="preserve"> PAGEREF _Toc167452335 \h </w:instrText>
            </w:r>
            <w:r w:rsidR="00976B3D">
              <w:rPr>
                <w:noProof/>
                <w:webHidden/>
              </w:rPr>
            </w:r>
            <w:r w:rsidR="00976B3D">
              <w:rPr>
                <w:noProof/>
                <w:webHidden/>
              </w:rPr>
              <w:fldChar w:fldCharType="separate"/>
            </w:r>
            <w:r w:rsidR="00976B3D">
              <w:rPr>
                <w:noProof/>
                <w:webHidden/>
              </w:rPr>
              <w:t>38</w:t>
            </w:r>
            <w:r w:rsidR="00976B3D">
              <w:rPr>
                <w:noProof/>
                <w:webHidden/>
              </w:rPr>
              <w:fldChar w:fldCharType="end"/>
            </w:r>
          </w:hyperlink>
        </w:p>
        <w:p w14:paraId="143EA3AB" w14:textId="0E17E42C" w:rsidR="00976B3D" w:rsidRDefault="00763C03">
          <w:pPr>
            <w:pStyle w:val="TOC2"/>
            <w:tabs>
              <w:tab w:val="right" w:leader="dot" w:pos="8920"/>
            </w:tabs>
            <w:rPr>
              <w:rFonts w:eastAsiaTheme="minorEastAsia" w:cstheme="minorBidi"/>
              <w:noProof/>
              <w:kern w:val="2"/>
              <w:lang w:eastAsia="lv-LV"/>
              <w14:ligatures w14:val="standardContextual"/>
            </w:rPr>
          </w:pPr>
          <w:hyperlink w:anchor="_Toc167452336" w:history="1">
            <w:r w:rsidR="00976B3D" w:rsidRPr="00E3405E">
              <w:rPr>
                <w:rStyle w:val="Hyperlink"/>
                <w:noProof/>
              </w:rPr>
              <w:t>Scenāriju ietekme uz budžetu</w:t>
            </w:r>
            <w:r w:rsidR="00976B3D">
              <w:rPr>
                <w:noProof/>
                <w:webHidden/>
              </w:rPr>
              <w:tab/>
            </w:r>
            <w:r w:rsidR="00976B3D">
              <w:rPr>
                <w:noProof/>
                <w:webHidden/>
              </w:rPr>
              <w:fldChar w:fldCharType="begin"/>
            </w:r>
            <w:r w:rsidR="00976B3D">
              <w:rPr>
                <w:noProof/>
                <w:webHidden/>
              </w:rPr>
              <w:instrText xml:space="preserve"> PAGEREF _Toc167452336 \h </w:instrText>
            </w:r>
            <w:r w:rsidR="00976B3D">
              <w:rPr>
                <w:noProof/>
                <w:webHidden/>
              </w:rPr>
            </w:r>
            <w:r w:rsidR="00976B3D">
              <w:rPr>
                <w:noProof/>
                <w:webHidden/>
              </w:rPr>
              <w:fldChar w:fldCharType="separate"/>
            </w:r>
            <w:r w:rsidR="00976B3D">
              <w:rPr>
                <w:noProof/>
                <w:webHidden/>
              </w:rPr>
              <w:t>40</w:t>
            </w:r>
            <w:r w:rsidR="00976B3D">
              <w:rPr>
                <w:noProof/>
                <w:webHidden/>
              </w:rPr>
              <w:fldChar w:fldCharType="end"/>
            </w:r>
          </w:hyperlink>
        </w:p>
        <w:p w14:paraId="42198BDF" w14:textId="2288F369" w:rsidR="00976B3D" w:rsidRDefault="00763C03">
          <w:pPr>
            <w:pStyle w:val="TOC1"/>
            <w:tabs>
              <w:tab w:val="right" w:leader="dot" w:pos="8920"/>
            </w:tabs>
            <w:rPr>
              <w:rFonts w:eastAsiaTheme="minorEastAsia" w:cstheme="minorBidi"/>
              <w:noProof/>
              <w:kern w:val="2"/>
              <w:lang w:eastAsia="lv-LV"/>
              <w14:ligatures w14:val="standardContextual"/>
            </w:rPr>
          </w:pPr>
          <w:hyperlink w:anchor="_Toc167452337" w:history="1">
            <w:r w:rsidR="00976B3D" w:rsidRPr="00E3405E">
              <w:rPr>
                <w:rStyle w:val="Hyperlink"/>
                <w:noProof/>
              </w:rPr>
              <w:t>Turpmākās rīcības indikatīvais plāns</w:t>
            </w:r>
            <w:r w:rsidR="00976B3D">
              <w:rPr>
                <w:noProof/>
                <w:webHidden/>
              </w:rPr>
              <w:tab/>
            </w:r>
            <w:r w:rsidR="00976B3D">
              <w:rPr>
                <w:noProof/>
                <w:webHidden/>
              </w:rPr>
              <w:fldChar w:fldCharType="begin"/>
            </w:r>
            <w:r w:rsidR="00976B3D">
              <w:rPr>
                <w:noProof/>
                <w:webHidden/>
              </w:rPr>
              <w:instrText xml:space="preserve"> PAGEREF _Toc167452337 \h </w:instrText>
            </w:r>
            <w:r w:rsidR="00976B3D">
              <w:rPr>
                <w:noProof/>
                <w:webHidden/>
              </w:rPr>
            </w:r>
            <w:r w:rsidR="00976B3D">
              <w:rPr>
                <w:noProof/>
                <w:webHidden/>
              </w:rPr>
              <w:fldChar w:fldCharType="separate"/>
            </w:r>
            <w:r w:rsidR="00976B3D">
              <w:rPr>
                <w:noProof/>
                <w:webHidden/>
              </w:rPr>
              <w:t>43</w:t>
            </w:r>
            <w:r w:rsidR="00976B3D">
              <w:rPr>
                <w:noProof/>
                <w:webHidden/>
              </w:rPr>
              <w:fldChar w:fldCharType="end"/>
            </w:r>
          </w:hyperlink>
        </w:p>
        <w:p w14:paraId="1514FA04" w14:textId="7ACBA3CF" w:rsidR="00B80382" w:rsidRPr="00B0460F" w:rsidRDefault="00B80382" w:rsidP="00976B3D">
          <w:pPr>
            <w:pStyle w:val="TOC1"/>
            <w:tabs>
              <w:tab w:val="right" w:leader="dot" w:pos="8920"/>
            </w:tabs>
            <w:ind w:firstLine="0"/>
            <w:rPr>
              <w:rFonts w:eastAsiaTheme="minorEastAsia" w:cstheme="minorBidi"/>
              <w:noProof/>
              <w:kern w:val="2"/>
              <w:lang w:eastAsia="lv-LV"/>
              <w14:ligatures w14:val="standardContextual"/>
            </w:rPr>
          </w:pPr>
          <w:r w:rsidRPr="002A7D65">
            <w:fldChar w:fldCharType="end"/>
          </w:r>
        </w:p>
      </w:sdtContent>
    </w:sdt>
    <w:p w14:paraId="60C826B8" w14:textId="77777777" w:rsidR="00B80382" w:rsidRPr="002A7D65" w:rsidRDefault="00B80382" w:rsidP="00B80382">
      <w:pPr>
        <w:rPr>
          <w:rFonts w:asciiTheme="majorHAnsi" w:eastAsiaTheme="majorEastAsia" w:hAnsiTheme="majorHAnsi" w:cstheme="majorBidi"/>
          <w:color w:val="2F5496" w:themeColor="accent1" w:themeShade="BF"/>
          <w:sz w:val="32"/>
          <w:szCs w:val="32"/>
        </w:rPr>
      </w:pPr>
      <w:r w:rsidRPr="002A7D65">
        <w:br w:type="page"/>
      </w:r>
    </w:p>
    <w:p w14:paraId="798254AE" w14:textId="77777777" w:rsidR="00B80382" w:rsidRPr="002A7D65" w:rsidRDefault="00B80382" w:rsidP="006F1744">
      <w:pPr>
        <w:pStyle w:val="Heading1"/>
      </w:pPr>
      <w:bookmarkStart w:id="2" w:name="_Toc108618655"/>
      <w:bookmarkStart w:id="3" w:name="_Toc167452314"/>
      <w:r w:rsidRPr="002A7D65">
        <w:lastRenderedPageBreak/>
        <w:t>Konceptuālā ziņojuma kopsavilkums</w:t>
      </w:r>
      <w:bookmarkEnd w:id="2"/>
      <w:bookmarkEnd w:id="3"/>
    </w:p>
    <w:p w14:paraId="17F7905F" w14:textId="77777777" w:rsidR="00B80382" w:rsidRPr="002A7D65" w:rsidRDefault="00B80382" w:rsidP="00B80382"/>
    <w:p w14:paraId="0F6A5B6A" w14:textId="60997170" w:rsidR="00B80382" w:rsidRPr="002A7D65" w:rsidRDefault="00B80382" w:rsidP="00B80382">
      <w:r w:rsidRPr="002A7D65">
        <w:rPr>
          <w:rFonts w:ascii="Calibri" w:eastAsia="Calibri" w:hAnsi="Calibri"/>
        </w:rPr>
        <w:t>Augstākās izglītības politika ir daļa no</w:t>
      </w:r>
      <w:r w:rsidR="0011045A" w:rsidRPr="002A7D65">
        <w:rPr>
          <w:rFonts w:ascii="Calibri" w:eastAsia="Calibri" w:hAnsi="Calibri"/>
        </w:rPr>
        <w:t xml:space="preserve"> sabiedrības un</w:t>
      </w:r>
      <w:r w:rsidRPr="002A7D65">
        <w:rPr>
          <w:rFonts w:ascii="Calibri" w:eastAsia="Calibri" w:hAnsi="Calibri"/>
        </w:rPr>
        <w:t xml:space="preserve"> tautsaimniecības attīstības politikas. </w:t>
      </w:r>
      <w:r w:rsidR="00334B38">
        <w:rPr>
          <w:rFonts w:ascii="Calibri" w:eastAsia="Calibri" w:hAnsi="Calibri"/>
        </w:rPr>
        <w:t>Augstākās izglītības iestādes (AII)</w:t>
      </w:r>
      <w:r w:rsidRPr="002A7D65">
        <w:rPr>
          <w:rFonts w:cstheme="minorBidi"/>
        </w:rPr>
        <w:t xml:space="preserve"> un zinātniskās institūcijas, kā arī to darbības rezultātā izveidotie inovatīvie un tehnoloģiju ietilpīgie uzņēmumi ir kļuvuši par attīstīto valstu inovāciju ekosistēmas  virzītājiem. Augstākā un profesionālā izglītība ir efektīvākais sociālās mobilitātes instruments. Savukārt sociālā mobilitāte ir priekšnosacījums sabiedrības labklājībai un saliedētībai.</w:t>
      </w:r>
    </w:p>
    <w:p w14:paraId="7E41AF3F" w14:textId="64E33113" w:rsidR="00B80382" w:rsidRPr="002A7D65" w:rsidRDefault="00B80382" w:rsidP="00B80382">
      <w:r w:rsidRPr="002A7D65">
        <w:t>Tomēr gan vietējo organizāciju (piemēram, universitātes, Valsts kontrole, atbildīgās ministrijas, Latvijas Studentu apvienība, darba devēji,</w:t>
      </w:r>
      <w:r w:rsidR="00775FE5" w:rsidRPr="002A7D65">
        <w:t xml:space="preserve"> jaunie zinātnieki,</w:t>
      </w:r>
      <w:r w:rsidRPr="002A7D65">
        <w:t xml:space="preserve"> sociālie partneri), gan starptautisko ekspertu (piemēram, Pasaules Bankas, OECD, Eiropas Komisija, starptautiskās augstākās izglītības un zinātnes organizācijas) analīze un secinājumi rāda, ka, neskatoties uz atsevišķu jomu sasniegumiem, Latvijā hroniski netiek izmantots augstākās izglītības potenciāls. </w:t>
      </w:r>
    </w:p>
    <w:p w14:paraId="38ECF780" w14:textId="5D8CBA72" w:rsidR="00B80382" w:rsidRPr="002A7D65" w:rsidRDefault="00B80382" w:rsidP="00B80382">
      <w:pPr>
        <w:rPr>
          <w:highlight w:val="yellow"/>
        </w:rPr>
      </w:pPr>
      <w:r w:rsidRPr="002A7D65">
        <w:t>Gadījumā, ja arī turpmāk augstākās izglītības potenciāls netiks pilnībā izmantots, Latvijas valsts attīstība iepaliks no citām valstīm nepietiekam</w:t>
      </w:r>
      <w:r w:rsidR="000B20CD" w:rsidRPr="002A7D65">
        <w:t>i attīstītu prasmju un zināšanu</w:t>
      </w:r>
      <w:r w:rsidRPr="002A7D65">
        <w:t xml:space="preserve"> dēļ. </w:t>
      </w:r>
      <w:r w:rsidR="006C1CC7" w:rsidRPr="002A7D65">
        <w:t>E</w:t>
      </w:r>
      <w:r w:rsidRPr="002A7D65">
        <w:t>sošā sistēma</w:t>
      </w:r>
      <w:r w:rsidR="006C1CC7" w:rsidRPr="002A7D65">
        <w:t xml:space="preserve"> arī</w:t>
      </w:r>
      <w:r w:rsidRPr="002A7D65">
        <w:t xml:space="preserve"> veicina sociālekonomisko nevienlīdzību, kas ilgtermiņā veicinās sociālo sadrumstalotību. Latvija jau šobrīd ir valsts ar augstu nevienlīdzības līmeni</w:t>
      </w:r>
      <w:r w:rsidRPr="002A7D65">
        <w:rPr>
          <w:rStyle w:val="FootnoteReference"/>
        </w:rPr>
        <w:footnoteReference w:id="1"/>
      </w:r>
      <w:r w:rsidRPr="002A7D65">
        <w:t xml:space="preserve">, un, neizmantojot augstāko izglītību gan kā tautsaimniecības attīstības dzinēju, gan kā tālredzīgu sociālās politikas elementu, valsts attīstība nesasniedz pilnu potenciālu, un tas ietekmē visu iedzīvotāju dzīves līmeni. </w:t>
      </w:r>
    </w:p>
    <w:p w14:paraId="75DFCDD3" w14:textId="77777777" w:rsidR="00B80382" w:rsidRPr="002A7D65" w:rsidRDefault="00B80382" w:rsidP="00B80382">
      <w:pPr>
        <w:rPr>
          <w:highlight w:val="yellow"/>
        </w:rPr>
      </w:pPr>
      <w:r w:rsidRPr="002A7D65">
        <w:t xml:space="preserve">Lai mazinātus šos riskus un veicinātu Latvijas ekonomisko un sociālo attīstību, ir nepieciešami kompleksi strukturālie risinājumi augstākajā izglītībā, kas fokusējas uz trīs virzieniem: pārvaldība, politikas mērķiem atbilstošs finansējums un cilvēkresursi. </w:t>
      </w:r>
    </w:p>
    <w:p w14:paraId="25E8202C" w14:textId="5909E226" w:rsidR="00B80382" w:rsidRPr="002A7D65" w:rsidRDefault="00B80382" w:rsidP="00B80382">
      <w:r w:rsidRPr="002A7D65">
        <w:t>Līdz šim ir veiktas reformas augstskolu iekšējā pārvaldībā, zinātnes finansēšanā, ieviešanā ir jauns doktorantūras modelis, paralēli norit darbs pie jauna akadēmiskās karjeras modeļa, kā arī</w:t>
      </w:r>
      <w:r w:rsidR="00C52C60" w:rsidRPr="002A7D65">
        <w:t xml:space="preserve"> notiek</w:t>
      </w:r>
      <w:r w:rsidRPr="002A7D65">
        <w:t xml:space="preserve"> augstākās izglītības</w:t>
      </w:r>
      <w:r w:rsidR="00C52C60" w:rsidRPr="002A7D65">
        <w:t xml:space="preserve"> institūciju iekšējā un ārējā konsolidācija</w:t>
      </w:r>
      <w:r w:rsidRPr="002A7D65">
        <w:t>. Lai varētu sekmīgi reformēt augstākās izglītības nozari un izmantot to valsts attīstības un starptautiskās konkurētspējas mērķim, ir nepieciešams pilnveidot augstākās izglītības finansēšanas sistēmu, kas ļaus veicināt augstākās izglītības kvalitāti, pieejamību, kā arī efektīvu resursu izmantošanu.</w:t>
      </w:r>
    </w:p>
    <w:p w14:paraId="569EA06D" w14:textId="08144704" w:rsidR="00B80382" w:rsidRPr="002A7D65" w:rsidRDefault="00B80382" w:rsidP="0067372F">
      <w:r w:rsidRPr="002A7D65">
        <w:t xml:space="preserve">Lai šo paveiktu, </w:t>
      </w:r>
      <w:r w:rsidR="007038E0" w:rsidRPr="002A7D65">
        <w:t>Izglītības un zinātnes ministrija piedāvā</w:t>
      </w:r>
      <w:r w:rsidRPr="002A7D65">
        <w:t xml:space="preserve"> turpināt attīstīt jau esošo trīs pīlāru modeli</w:t>
      </w:r>
      <w:r w:rsidR="002F28AF" w:rsidRPr="002A7D65">
        <w:rPr>
          <w:rStyle w:val="FootnoteReference"/>
        </w:rPr>
        <w:footnoteReference w:id="2"/>
      </w:r>
      <w:r w:rsidRPr="002A7D65">
        <w:t>, pastiprinot tā stiprās puses un koriģējot vājās.</w:t>
      </w:r>
      <w:r w:rsidR="00FB3035" w:rsidRPr="002A7D65">
        <w:t xml:space="preserve"> Reformas mērķis ir veicināt iestāžu finansiālo autonomiju un atbildību par rezultātu sasniegšanu.</w:t>
      </w:r>
      <w:r w:rsidRPr="002A7D65">
        <w:t xml:space="preserve"> </w:t>
      </w:r>
      <w:r w:rsidR="00DE03FC" w:rsidRPr="002A7D65">
        <w:t xml:space="preserve">Pašlaik augstākās izglītības finansēšanas sistēma </w:t>
      </w:r>
      <w:r w:rsidR="00F120EB" w:rsidRPr="002A7D65">
        <w:t xml:space="preserve">neņem vērā plašo augstākās izglītības iestāžu daudzveidību </w:t>
      </w:r>
      <w:r w:rsidR="00F120EB" w:rsidRPr="002A7D65">
        <w:lastRenderedPageBreak/>
        <w:t>Latvijā</w:t>
      </w:r>
      <w:r w:rsidR="0073343F" w:rsidRPr="002A7D65">
        <w:t xml:space="preserve">, kā arī mākslīgi ierobežo iestāžu brīvību operēt ar saviem līdzekļiem, tādā veidā būtiski ierobežojot iestāžu spēju </w:t>
      </w:r>
      <w:r w:rsidR="00693594" w:rsidRPr="002A7D65">
        <w:t xml:space="preserve">efektīvi un uz mērķi orientētā veidā izmantot </w:t>
      </w:r>
      <w:r w:rsidR="009A5769" w:rsidRPr="002A7D65">
        <w:t xml:space="preserve">valsts finansējumu. </w:t>
      </w:r>
      <w:r w:rsidRPr="002A7D65">
        <w:t xml:space="preserve"> </w:t>
      </w:r>
    </w:p>
    <w:p w14:paraId="1E7D652B" w14:textId="77777777" w:rsidR="00B80382" w:rsidRPr="002A7D65" w:rsidRDefault="00B80382" w:rsidP="00B80382">
      <w:pPr>
        <w:rPr>
          <w:highlight w:val="yellow"/>
        </w:rPr>
      </w:pPr>
      <w:r w:rsidRPr="002A7D65">
        <w:t>Lai risinātu sistēmas izaicinājumus, tiek piedāvāts:</w:t>
      </w:r>
    </w:p>
    <w:p w14:paraId="4B9EE7DB" w14:textId="19711742" w:rsidR="00B80382" w:rsidRPr="002A7D65" w:rsidRDefault="00B80382" w:rsidP="00B80382">
      <w:pPr>
        <w:rPr>
          <w:highlight w:val="yellow"/>
        </w:rPr>
      </w:pPr>
      <w:r w:rsidRPr="002A7D65">
        <w:t xml:space="preserve">1) </w:t>
      </w:r>
      <w:r w:rsidR="001E3385" w:rsidRPr="002A7D65">
        <w:t>pāriet uz institucionāl</w:t>
      </w:r>
      <w:r w:rsidR="0067372F" w:rsidRPr="002A7D65">
        <w:t>o</w:t>
      </w:r>
      <w:r w:rsidR="001E3385" w:rsidRPr="002A7D65">
        <w:t xml:space="preserve"> finansēšanas principu, kā ietvaros valsts piešķir bloka dotāciju augstākās izglītības iestādēm, k</w:t>
      </w:r>
      <w:r w:rsidR="00D942BD" w:rsidRPr="002A7D65">
        <w:t>as</w:t>
      </w:r>
      <w:r w:rsidR="001E3385" w:rsidRPr="002A7D65">
        <w:t xml:space="preserve"> var brīvi izmantot</w:t>
      </w:r>
      <w:r w:rsidR="00A14759" w:rsidRPr="002A7D65">
        <w:t xml:space="preserve"> šos līdzekļus</w:t>
      </w:r>
      <w:r w:rsidR="001E3385" w:rsidRPr="002A7D65">
        <w:t xml:space="preserve"> sevis noteikto</w:t>
      </w:r>
      <w:r w:rsidR="00C50B58" w:rsidRPr="002A7D65">
        <w:t xml:space="preserve"> bezmaksas</w:t>
      </w:r>
      <w:r w:rsidR="002606A5" w:rsidRPr="002A7D65">
        <w:t>, līdzmaksājuma un maksas vietu nodrošināšanai;</w:t>
      </w:r>
      <w:r w:rsidRPr="002A7D65">
        <w:t xml:space="preserve"> </w:t>
      </w:r>
    </w:p>
    <w:p w14:paraId="6031C36D" w14:textId="23675B28" w:rsidR="00C967BC" w:rsidRPr="002A7D65" w:rsidRDefault="007A4495" w:rsidP="00C967BC">
      <w:r>
        <w:t>2</w:t>
      </w:r>
      <w:r w:rsidR="00BF4217" w:rsidRPr="002A7D65">
        <w:t>)</w:t>
      </w:r>
      <w:r w:rsidR="00172B2F" w:rsidRPr="002A7D65">
        <w:t xml:space="preserve"> veicināt studējošo finansēšanas sistēmas attīstību, kuras ietvaros valsts sniedz lielāku atbalstu studējošajiem noteiktās jomās, ar noteiktiem sasniegumiem un/vai no noteiktām sabiedrības grupām</w:t>
      </w:r>
      <w:r w:rsidR="009E76A4" w:rsidRPr="002A7D65">
        <w:t>;</w:t>
      </w:r>
    </w:p>
    <w:p w14:paraId="0FAC8A90" w14:textId="3B0008B4" w:rsidR="00B80382" w:rsidRPr="002A7D65" w:rsidRDefault="007A4495" w:rsidP="00B80382">
      <w:r>
        <w:t>4</w:t>
      </w:r>
      <w:r w:rsidR="00B80382" w:rsidRPr="002A7D65">
        <w:t>) palielināt snieguma finansējuma apjomu un ieviest jaunus snieguma rādītājus</w:t>
      </w:r>
      <w:r w:rsidR="006E5749" w:rsidRPr="002A7D65">
        <w:t>;</w:t>
      </w:r>
    </w:p>
    <w:p w14:paraId="357D254B" w14:textId="3D9B18D0" w:rsidR="00B80382" w:rsidRPr="002A7D65" w:rsidRDefault="007A4495" w:rsidP="00BB1A98">
      <w:r>
        <w:t>5</w:t>
      </w:r>
      <w:r w:rsidR="00B80382" w:rsidRPr="002A7D65">
        <w:t>) ieviest</w:t>
      </w:r>
      <w:r w:rsidR="00175BFE">
        <w:t xml:space="preserve"> attīstības finansējumu jauniem </w:t>
      </w:r>
      <w:proofErr w:type="spellStart"/>
      <w:r w:rsidR="00175BFE">
        <w:t>izmēģinājumprojektiem</w:t>
      </w:r>
      <w:proofErr w:type="spellEnd"/>
      <w:r w:rsidR="00175BFE">
        <w:t>.</w:t>
      </w:r>
    </w:p>
    <w:p w14:paraId="1D0C8B3C" w14:textId="0815CECA" w:rsidR="00B80382" w:rsidRPr="002A7D65" w:rsidRDefault="00B80382" w:rsidP="00B80382">
      <w:r w:rsidRPr="002A7D65">
        <w:t>Ievērojot minēto un pamatojoties uz Augstskolu likuma pārejas noteikumu 77. un 81. punktu,</w:t>
      </w:r>
      <w:r w:rsidR="00AD649F">
        <w:t xml:space="preserve"> Ministru kabinetā 2017. gada 16. maijā</w:t>
      </w:r>
      <w:r w:rsidR="00087E3F">
        <w:t xml:space="preserve"> pieņemto</w:t>
      </w:r>
      <w:r w:rsidRPr="002A7D65">
        <w:t xml:space="preserve"> informatīvo ziņojumu "Augstākās izglītības pārvaldības modernizācijas un jaunā augstākās izglītības finansēšanas modeļa ieviešanas gaita un rezultāti",</w:t>
      </w:r>
      <w:r w:rsidR="00A14759" w:rsidRPr="002A7D65">
        <w:t xml:space="preserve"> kā arī</w:t>
      </w:r>
      <w:r w:rsidR="00E45B70">
        <w:t xml:space="preserve"> Ministru kabineta 2015. gada 29. jūnija</w:t>
      </w:r>
      <w:r w:rsidRPr="002A7D65">
        <w:t xml:space="preserve"> rīkojumā</w:t>
      </w:r>
      <w:r w:rsidR="0083662F">
        <w:t xml:space="preserve"> Nr. 333</w:t>
      </w:r>
      <w:r w:rsidRPr="002A7D65">
        <w:t xml:space="preserve"> “Par jauna augstākās izglītības finansēšanas modeļa ieviešanu Latvijā” dotajiem uzdevumiem, Izglītības un zinātnes ministrija (turpmāk- ministrija, arī IZM) ir sagatavojusi konceptuālo ziņojumu “Par </w:t>
      </w:r>
      <w:r w:rsidR="003C59F7" w:rsidRPr="002A7D65">
        <w:t>augstākās izglītības institucionālo finansēšanu</w:t>
      </w:r>
      <w:r w:rsidRPr="002A7D65">
        <w:t>”.</w:t>
      </w:r>
    </w:p>
    <w:p w14:paraId="5AA9DC11" w14:textId="25700463" w:rsidR="00BE2C45" w:rsidRPr="002A7D65" w:rsidRDefault="00BE2C45" w:rsidP="00B0396E">
      <w:r w:rsidRPr="002A7D65">
        <w:t xml:space="preserve">Saskaņā ar absolventu monitoringa datiem, salīdzinot iedzīvotājus ar tikai vidējo izglītību un augstāko, ir novērojams, ka visu 2020. gadu valsts AII absolventi pelnīja par 99.5 </w:t>
      </w:r>
      <w:r w:rsidR="00DD351F" w:rsidRPr="002A7D65">
        <w:t xml:space="preserve">milj. </w:t>
      </w:r>
      <w:r w:rsidR="00C16B07" w:rsidRPr="00C16B07">
        <w:rPr>
          <w:i/>
          <w:iCs/>
        </w:rPr>
        <w:t>euro</w:t>
      </w:r>
      <w:r w:rsidR="00DD351F" w:rsidRPr="002A7D65">
        <w:t xml:space="preserve"> </w:t>
      </w:r>
      <w:r w:rsidRPr="002A7D65">
        <w:t xml:space="preserve">vairāk, kas nozīmē papildu 57.1 </w:t>
      </w:r>
      <w:r w:rsidR="00DD351F" w:rsidRPr="002A7D65">
        <w:t xml:space="preserve">milj. </w:t>
      </w:r>
      <w:r w:rsidR="00C16B07" w:rsidRPr="00C16B07">
        <w:rPr>
          <w:i/>
          <w:iCs/>
        </w:rPr>
        <w:t>euro</w:t>
      </w:r>
      <w:r w:rsidR="00DD351F" w:rsidRPr="002A7D65">
        <w:t xml:space="preserve"> </w:t>
      </w:r>
      <w:r w:rsidRPr="002A7D65">
        <w:t xml:space="preserve"> ieņēmumus caur</w:t>
      </w:r>
      <w:r w:rsidR="00626B69">
        <w:t xml:space="preserve"> </w:t>
      </w:r>
      <w:r w:rsidR="00DD351F" w:rsidRPr="002A7D65">
        <w:t xml:space="preserve">valsts sociālās </w:t>
      </w:r>
      <w:r w:rsidR="000E326B">
        <w:t>apdrošināšanas</w:t>
      </w:r>
      <w:r w:rsidR="00DD351F" w:rsidRPr="002A7D65">
        <w:t xml:space="preserve"> </w:t>
      </w:r>
      <w:r w:rsidR="00574F84" w:rsidRPr="002A7D65">
        <w:t>obl</w:t>
      </w:r>
      <w:r w:rsidR="00574F84">
        <w:t>i</w:t>
      </w:r>
      <w:r w:rsidR="00574F84" w:rsidRPr="002A7D65">
        <w:t>gāt</w:t>
      </w:r>
      <w:r w:rsidR="00574F84">
        <w:t>ā</w:t>
      </w:r>
      <w:r w:rsidR="00574F84" w:rsidRPr="002A7D65">
        <w:t>m</w:t>
      </w:r>
      <w:r w:rsidR="00DD351F" w:rsidRPr="002A7D65">
        <w:t xml:space="preserve"> iemaksām (</w:t>
      </w:r>
      <w:r w:rsidRPr="002A7D65">
        <w:t>VSAOI</w:t>
      </w:r>
      <w:r w:rsidR="00DD351F" w:rsidRPr="002A7D65">
        <w:t>)</w:t>
      </w:r>
      <w:r w:rsidRPr="002A7D65">
        <w:t xml:space="preserve"> un </w:t>
      </w:r>
      <w:r w:rsidR="00DD351F" w:rsidRPr="002A7D65">
        <w:t>iedzīvotāju ienākuma nodokli (turpmāk- IIN)</w:t>
      </w:r>
      <w:r w:rsidRPr="002A7D65">
        <w:t>. Savukārt, pieņemot, vēl vismaz 30 gadu turpmāko nodarbinātību vairumam šo absolventu, viņu karjeras</w:t>
      </w:r>
      <w:r w:rsidR="00DD351F" w:rsidRPr="002A7D65">
        <w:t xml:space="preserve"> gaitā</w:t>
      </w:r>
      <w:r w:rsidRPr="002A7D65">
        <w:t xml:space="preserve"> papild</w:t>
      </w:r>
      <w:r w:rsidR="00A36111" w:rsidRPr="002A7D65">
        <w:t>u</w:t>
      </w:r>
      <w:r w:rsidRPr="002A7D65">
        <w:t xml:space="preserve"> nomaksātie IIN ieņēmumi pēc absolvēšanas salīdzinājumā ar tiem, kam ir vidējā izglītība sasniegs 695 </w:t>
      </w:r>
      <w:r w:rsidR="00DD351F" w:rsidRPr="002A7D65">
        <w:t xml:space="preserve">milj. </w:t>
      </w:r>
      <w:r w:rsidR="00C16B07" w:rsidRPr="00C16B07">
        <w:rPr>
          <w:i/>
          <w:iCs/>
        </w:rPr>
        <w:t>euro</w:t>
      </w:r>
      <w:r w:rsidR="00DD351F" w:rsidRPr="002A7D65">
        <w:t xml:space="preserve"> </w:t>
      </w:r>
      <w:r w:rsidR="00CD07A8" w:rsidRPr="002A7D65">
        <w:t>2022. gada cenās</w:t>
      </w:r>
      <w:r w:rsidRPr="002A7D65">
        <w:t>, kas, pret valsts budžeta dotāciju</w:t>
      </w:r>
      <w:r w:rsidR="00DD351F" w:rsidRPr="002A7D65">
        <w:t xml:space="preserve"> augstākajai izglītībai</w:t>
      </w:r>
      <w:r w:rsidRPr="002A7D65">
        <w:t xml:space="preserve"> 2020. gadā 109.6 </w:t>
      </w:r>
      <w:r w:rsidR="00DD351F" w:rsidRPr="002A7D65">
        <w:t xml:space="preserve">milj. </w:t>
      </w:r>
      <w:r w:rsidR="00C16B07" w:rsidRPr="00C16B07">
        <w:rPr>
          <w:i/>
          <w:iCs/>
        </w:rPr>
        <w:t>euro</w:t>
      </w:r>
      <w:r w:rsidR="00DD351F" w:rsidRPr="002A7D65">
        <w:t xml:space="preserve"> </w:t>
      </w:r>
      <w:r w:rsidRPr="002A7D65">
        <w:t xml:space="preserve"> apmērā nozīmē to, ka pret katru ieguldīto </w:t>
      </w:r>
      <w:r w:rsidR="00C16B07" w:rsidRPr="00C16B07">
        <w:rPr>
          <w:i/>
          <w:iCs/>
        </w:rPr>
        <w:t>euro</w:t>
      </w:r>
      <w:r w:rsidR="00DD351F" w:rsidRPr="002A7D65">
        <w:t xml:space="preserve"> </w:t>
      </w:r>
      <w:r w:rsidRPr="002A7D65">
        <w:t xml:space="preserve">no valsts tiek atgūti 6,34 </w:t>
      </w:r>
      <w:r w:rsidR="00C16B07" w:rsidRPr="00C16B07">
        <w:rPr>
          <w:i/>
          <w:iCs/>
        </w:rPr>
        <w:t>euro</w:t>
      </w:r>
      <w:r w:rsidR="00DD351F" w:rsidRPr="002A7D65">
        <w:t xml:space="preserve"> </w:t>
      </w:r>
      <w:r w:rsidRPr="002A7D65">
        <w:t xml:space="preserve">un investīcijas augstākajā izglītībā atmaksājas nepilnos piecos gados, pēc kā valstij ir tīrā peļņa. Šī iemesla dēļ, ministrija aicina lūkoties uz šīs reformas nepieciešamajām summām nevis kā izdevumiem, bet kā investīcijām, kas ne tikai pašas sevi apmaksā vidējā termiņā, bet arī ilgtermiņā nes būtisku pienesumu valsts budžetam un labklājību valstij. </w:t>
      </w:r>
    </w:p>
    <w:p w14:paraId="731B038D" w14:textId="77777777" w:rsidR="00B80382" w:rsidRPr="002A7D65" w:rsidRDefault="00B80382" w:rsidP="00B80382">
      <w:pPr>
        <w:rPr>
          <w:rFonts w:ascii="Calibri" w:eastAsia="Calibri" w:hAnsi="Calibri"/>
        </w:rPr>
      </w:pPr>
    </w:p>
    <w:p w14:paraId="5C839B11" w14:textId="77777777" w:rsidR="00B80382" w:rsidRPr="002A7D65" w:rsidRDefault="00B80382" w:rsidP="00B80382">
      <w:pPr>
        <w:spacing w:after="160"/>
        <w:ind w:firstLine="0"/>
        <w:jc w:val="left"/>
      </w:pPr>
    </w:p>
    <w:p w14:paraId="3FE0B7B6" w14:textId="77777777" w:rsidR="00B80382" w:rsidRPr="002A7D65" w:rsidRDefault="00B80382" w:rsidP="00B80382">
      <w:pPr>
        <w:spacing w:after="160"/>
        <w:ind w:firstLine="0"/>
        <w:jc w:val="left"/>
        <w:rPr>
          <w:rFonts w:asciiTheme="majorHAnsi" w:eastAsiaTheme="majorEastAsia" w:hAnsiTheme="majorHAnsi" w:cstheme="majorBidi"/>
          <w:color w:val="2F5496" w:themeColor="accent1" w:themeShade="BF"/>
          <w:sz w:val="32"/>
          <w:szCs w:val="32"/>
          <w:highlight w:val="yellow"/>
        </w:rPr>
      </w:pPr>
      <w:r w:rsidRPr="002A7D65">
        <w:rPr>
          <w:highlight w:val="yellow"/>
        </w:rPr>
        <w:br w:type="page"/>
      </w:r>
    </w:p>
    <w:p w14:paraId="2AF4A779" w14:textId="77777777" w:rsidR="00B80382" w:rsidRPr="002A7D65" w:rsidRDefault="00B80382" w:rsidP="006F1744">
      <w:pPr>
        <w:pStyle w:val="Heading1"/>
      </w:pPr>
      <w:bookmarkStart w:id="4" w:name="_Toc108618656"/>
      <w:bookmarkStart w:id="5" w:name="_Toc167452315"/>
      <w:r w:rsidRPr="002A7D65">
        <w:lastRenderedPageBreak/>
        <w:t>Izmantotie termini un saīsinājumi</w:t>
      </w:r>
      <w:bookmarkEnd w:id="4"/>
      <w:bookmarkEnd w:id="5"/>
    </w:p>
    <w:p w14:paraId="06C98515" w14:textId="77777777" w:rsidR="00B80382" w:rsidRPr="002A7D65" w:rsidRDefault="00B80382" w:rsidP="00B80382"/>
    <w:tbl>
      <w:tblPr>
        <w:tblStyle w:val="TableGrid"/>
        <w:tblW w:w="0" w:type="auto"/>
        <w:jc w:val="center"/>
        <w:tblLook w:val="04A0" w:firstRow="1" w:lastRow="0" w:firstColumn="1" w:lastColumn="0" w:noHBand="0" w:noVBand="1"/>
      </w:tblPr>
      <w:tblGrid>
        <w:gridCol w:w="1476"/>
        <w:gridCol w:w="5812"/>
      </w:tblGrid>
      <w:tr w:rsidR="00B80382" w:rsidRPr="002A7D65" w14:paraId="406BE26A" w14:textId="77777777" w:rsidTr="00E451C8">
        <w:trPr>
          <w:jc w:val="center"/>
        </w:trPr>
        <w:tc>
          <w:tcPr>
            <w:tcW w:w="1476" w:type="dxa"/>
            <w:shd w:val="clear" w:color="auto" w:fill="F2F2F2" w:themeFill="background1" w:themeFillShade="F2"/>
          </w:tcPr>
          <w:p w14:paraId="7C032BF9" w14:textId="77777777" w:rsidR="00B80382" w:rsidRPr="002A7D65" w:rsidRDefault="00B80382" w:rsidP="002C51BB">
            <w:pPr>
              <w:ind w:firstLine="0"/>
              <w:jc w:val="center"/>
              <w:rPr>
                <w:b/>
                <w:color w:val="7030A0"/>
                <w:sz w:val="32"/>
                <w:szCs w:val="32"/>
              </w:rPr>
            </w:pPr>
            <w:r w:rsidRPr="002A7D65">
              <w:rPr>
                <w:b/>
                <w:color w:val="7030A0"/>
                <w:sz w:val="32"/>
                <w:szCs w:val="32"/>
              </w:rPr>
              <w:t>AII</w:t>
            </w:r>
          </w:p>
        </w:tc>
        <w:tc>
          <w:tcPr>
            <w:tcW w:w="5812" w:type="dxa"/>
          </w:tcPr>
          <w:p w14:paraId="20BAFC40" w14:textId="77777777" w:rsidR="00B80382" w:rsidRPr="002A7D65" w:rsidRDefault="00B80382" w:rsidP="002C51BB">
            <w:pPr>
              <w:ind w:firstLine="0"/>
              <w:jc w:val="left"/>
              <w:rPr>
                <w:sz w:val="32"/>
                <w:szCs w:val="32"/>
              </w:rPr>
            </w:pPr>
            <w:r w:rsidRPr="002A7D65">
              <w:rPr>
                <w:sz w:val="32"/>
                <w:szCs w:val="32"/>
              </w:rPr>
              <w:t>Augstākās izglītības iestāde (augstskola vai koledža)</w:t>
            </w:r>
          </w:p>
        </w:tc>
      </w:tr>
      <w:tr w:rsidR="00B80382" w:rsidRPr="002A7D65" w14:paraId="0DD89CDE" w14:textId="77777777" w:rsidTr="00E451C8">
        <w:trPr>
          <w:jc w:val="center"/>
        </w:trPr>
        <w:tc>
          <w:tcPr>
            <w:tcW w:w="1476" w:type="dxa"/>
            <w:shd w:val="clear" w:color="auto" w:fill="F2F2F2" w:themeFill="background1" w:themeFillShade="F2"/>
          </w:tcPr>
          <w:p w14:paraId="05D9DB12" w14:textId="77777777" w:rsidR="00B80382" w:rsidRPr="002A7D65" w:rsidRDefault="00B80382" w:rsidP="002C51BB">
            <w:pPr>
              <w:ind w:firstLine="0"/>
              <w:jc w:val="center"/>
              <w:rPr>
                <w:b/>
                <w:color w:val="7030A0"/>
                <w:sz w:val="32"/>
                <w:szCs w:val="32"/>
              </w:rPr>
            </w:pPr>
            <w:r w:rsidRPr="002A7D65">
              <w:rPr>
                <w:b/>
                <w:color w:val="7030A0"/>
                <w:sz w:val="32"/>
                <w:szCs w:val="32"/>
              </w:rPr>
              <w:t>ASV</w:t>
            </w:r>
          </w:p>
        </w:tc>
        <w:tc>
          <w:tcPr>
            <w:tcW w:w="5812" w:type="dxa"/>
          </w:tcPr>
          <w:p w14:paraId="11B5FDDC" w14:textId="77777777" w:rsidR="00B80382" w:rsidRPr="002A7D65" w:rsidRDefault="00B80382" w:rsidP="002C51BB">
            <w:pPr>
              <w:ind w:firstLine="0"/>
              <w:jc w:val="left"/>
              <w:rPr>
                <w:sz w:val="32"/>
                <w:szCs w:val="32"/>
              </w:rPr>
            </w:pPr>
            <w:r w:rsidRPr="002A7D65">
              <w:rPr>
                <w:sz w:val="32"/>
                <w:szCs w:val="32"/>
              </w:rPr>
              <w:t>Amerikas Savienotās Valstis</w:t>
            </w:r>
          </w:p>
        </w:tc>
      </w:tr>
      <w:tr w:rsidR="00B80382" w:rsidRPr="002A7D65" w14:paraId="5C193881" w14:textId="77777777" w:rsidTr="00E451C8">
        <w:trPr>
          <w:jc w:val="center"/>
        </w:trPr>
        <w:tc>
          <w:tcPr>
            <w:tcW w:w="1476" w:type="dxa"/>
            <w:shd w:val="clear" w:color="auto" w:fill="F2F2F2" w:themeFill="background1" w:themeFillShade="F2"/>
          </w:tcPr>
          <w:p w14:paraId="4A06B01D" w14:textId="77777777" w:rsidR="00B80382" w:rsidRPr="002A7D65" w:rsidRDefault="00B80382" w:rsidP="002C51BB">
            <w:pPr>
              <w:ind w:firstLine="0"/>
              <w:jc w:val="center"/>
              <w:rPr>
                <w:b/>
                <w:color w:val="7030A0"/>
                <w:sz w:val="32"/>
                <w:szCs w:val="32"/>
              </w:rPr>
            </w:pPr>
            <w:r w:rsidRPr="002A7D65">
              <w:rPr>
                <w:b/>
                <w:color w:val="7030A0"/>
                <w:sz w:val="32"/>
                <w:szCs w:val="32"/>
              </w:rPr>
              <w:t>ECTS</w:t>
            </w:r>
          </w:p>
        </w:tc>
        <w:tc>
          <w:tcPr>
            <w:tcW w:w="5812" w:type="dxa"/>
          </w:tcPr>
          <w:p w14:paraId="7D9F1C9A" w14:textId="77777777" w:rsidR="00B80382" w:rsidRPr="002A7D65" w:rsidRDefault="00B80382" w:rsidP="002C51BB">
            <w:pPr>
              <w:ind w:firstLine="0"/>
              <w:jc w:val="left"/>
              <w:rPr>
                <w:sz w:val="32"/>
                <w:szCs w:val="32"/>
              </w:rPr>
            </w:pPr>
            <w:r w:rsidRPr="002A7D65">
              <w:rPr>
                <w:sz w:val="32"/>
                <w:szCs w:val="32"/>
              </w:rPr>
              <w:t>Eiropas kredītpunktu pārneses un uzkrāšanas sistēma</w:t>
            </w:r>
          </w:p>
        </w:tc>
      </w:tr>
      <w:tr w:rsidR="00B80382" w:rsidRPr="002A7D65" w14:paraId="21F9A18E" w14:textId="77777777" w:rsidTr="00E451C8">
        <w:trPr>
          <w:jc w:val="center"/>
        </w:trPr>
        <w:tc>
          <w:tcPr>
            <w:tcW w:w="1476" w:type="dxa"/>
            <w:shd w:val="clear" w:color="auto" w:fill="F2F2F2" w:themeFill="background1" w:themeFillShade="F2"/>
          </w:tcPr>
          <w:p w14:paraId="4E9990BE" w14:textId="77777777" w:rsidR="00B80382" w:rsidRPr="002A7D65" w:rsidRDefault="00B80382" w:rsidP="002C51BB">
            <w:pPr>
              <w:ind w:firstLine="0"/>
              <w:jc w:val="center"/>
              <w:rPr>
                <w:b/>
                <w:color w:val="7030A0"/>
                <w:sz w:val="32"/>
                <w:szCs w:val="32"/>
              </w:rPr>
            </w:pPr>
            <w:r w:rsidRPr="002A7D65">
              <w:rPr>
                <w:b/>
                <w:color w:val="7030A0"/>
                <w:sz w:val="32"/>
                <w:szCs w:val="32"/>
              </w:rPr>
              <w:t>EEZ</w:t>
            </w:r>
          </w:p>
        </w:tc>
        <w:tc>
          <w:tcPr>
            <w:tcW w:w="5812" w:type="dxa"/>
          </w:tcPr>
          <w:p w14:paraId="7452A7BB" w14:textId="77777777" w:rsidR="00B80382" w:rsidRPr="002A7D65" w:rsidRDefault="00B80382" w:rsidP="002C51BB">
            <w:pPr>
              <w:ind w:firstLine="0"/>
              <w:jc w:val="left"/>
              <w:rPr>
                <w:sz w:val="32"/>
                <w:szCs w:val="32"/>
              </w:rPr>
            </w:pPr>
            <w:r w:rsidRPr="002A7D65">
              <w:rPr>
                <w:sz w:val="32"/>
                <w:szCs w:val="32"/>
              </w:rPr>
              <w:t>Eiropas Ekonomikas zona</w:t>
            </w:r>
          </w:p>
        </w:tc>
      </w:tr>
      <w:tr w:rsidR="00B80382" w:rsidRPr="002A7D65" w14:paraId="768F48FF" w14:textId="77777777" w:rsidTr="00E451C8">
        <w:trPr>
          <w:jc w:val="center"/>
        </w:trPr>
        <w:tc>
          <w:tcPr>
            <w:tcW w:w="1476" w:type="dxa"/>
            <w:shd w:val="clear" w:color="auto" w:fill="F2F2F2" w:themeFill="background1" w:themeFillShade="F2"/>
          </w:tcPr>
          <w:p w14:paraId="00B7785E" w14:textId="77777777" w:rsidR="00B80382" w:rsidRPr="002A7D65" w:rsidRDefault="00B80382" w:rsidP="002C51BB">
            <w:pPr>
              <w:ind w:firstLine="0"/>
              <w:jc w:val="center"/>
              <w:rPr>
                <w:b/>
                <w:color w:val="7030A0"/>
                <w:sz w:val="32"/>
                <w:szCs w:val="32"/>
              </w:rPr>
            </w:pPr>
            <w:r w:rsidRPr="002A7D65">
              <w:rPr>
                <w:b/>
                <w:color w:val="7030A0"/>
                <w:sz w:val="32"/>
                <w:szCs w:val="32"/>
              </w:rPr>
              <w:t>ES</w:t>
            </w:r>
          </w:p>
        </w:tc>
        <w:tc>
          <w:tcPr>
            <w:tcW w:w="5812" w:type="dxa"/>
          </w:tcPr>
          <w:p w14:paraId="19914EF8" w14:textId="77777777" w:rsidR="00B80382" w:rsidRPr="002A7D65" w:rsidRDefault="00B80382" w:rsidP="002C51BB">
            <w:pPr>
              <w:ind w:firstLine="0"/>
              <w:jc w:val="left"/>
              <w:rPr>
                <w:sz w:val="32"/>
                <w:szCs w:val="32"/>
              </w:rPr>
            </w:pPr>
            <w:r w:rsidRPr="002A7D65">
              <w:rPr>
                <w:sz w:val="32"/>
                <w:szCs w:val="32"/>
              </w:rPr>
              <w:t>Eiropas Savienība</w:t>
            </w:r>
          </w:p>
        </w:tc>
      </w:tr>
      <w:tr w:rsidR="00B80382" w:rsidRPr="002A7D65" w14:paraId="2F14D5AC" w14:textId="77777777" w:rsidTr="00E451C8">
        <w:trPr>
          <w:jc w:val="center"/>
        </w:trPr>
        <w:tc>
          <w:tcPr>
            <w:tcW w:w="1476" w:type="dxa"/>
            <w:shd w:val="clear" w:color="auto" w:fill="F2F2F2" w:themeFill="background1" w:themeFillShade="F2"/>
          </w:tcPr>
          <w:p w14:paraId="71F06039" w14:textId="77777777" w:rsidR="00B80382" w:rsidRPr="002A7D65" w:rsidRDefault="00B80382" w:rsidP="002C51BB">
            <w:pPr>
              <w:ind w:firstLine="0"/>
              <w:jc w:val="center"/>
              <w:rPr>
                <w:b/>
                <w:color w:val="7030A0"/>
                <w:sz w:val="32"/>
                <w:szCs w:val="32"/>
              </w:rPr>
            </w:pPr>
            <w:r w:rsidRPr="002A7D65">
              <w:rPr>
                <w:b/>
                <w:color w:val="7030A0"/>
                <w:sz w:val="32"/>
                <w:szCs w:val="32"/>
              </w:rPr>
              <w:t>IKP</w:t>
            </w:r>
          </w:p>
        </w:tc>
        <w:tc>
          <w:tcPr>
            <w:tcW w:w="5812" w:type="dxa"/>
          </w:tcPr>
          <w:p w14:paraId="2DA85D6C" w14:textId="77777777" w:rsidR="00B80382" w:rsidRPr="002A7D65" w:rsidRDefault="00B80382" w:rsidP="002C51BB">
            <w:pPr>
              <w:ind w:firstLine="0"/>
              <w:jc w:val="left"/>
              <w:rPr>
                <w:sz w:val="32"/>
                <w:szCs w:val="32"/>
              </w:rPr>
            </w:pPr>
            <w:r w:rsidRPr="002A7D65">
              <w:rPr>
                <w:sz w:val="32"/>
                <w:szCs w:val="32"/>
              </w:rPr>
              <w:t>Iekšzemes kopprodukts</w:t>
            </w:r>
          </w:p>
        </w:tc>
      </w:tr>
      <w:tr w:rsidR="00B80382" w:rsidRPr="002A7D65" w14:paraId="2DAC37B5" w14:textId="77777777" w:rsidTr="00E451C8">
        <w:trPr>
          <w:jc w:val="center"/>
        </w:trPr>
        <w:tc>
          <w:tcPr>
            <w:tcW w:w="1476" w:type="dxa"/>
            <w:shd w:val="clear" w:color="auto" w:fill="F2F2F2" w:themeFill="background1" w:themeFillShade="F2"/>
          </w:tcPr>
          <w:p w14:paraId="4D55EE5E" w14:textId="77777777" w:rsidR="00B80382" w:rsidRPr="002A7D65" w:rsidRDefault="00B80382" w:rsidP="002C51BB">
            <w:pPr>
              <w:ind w:firstLine="0"/>
              <w:jc w:val="center"/>
              <w:rPr>
                <w:b/>
                <w:color w:val="7030A0"/>
                <w:sz w:val="32"/>
                <w:szCs w:val="32"/>
              </w:rPr>
            </w:pPr>
            <w:r w:rsidRPr="002A7D65">
              <w:rPr>
                <w:b/>
                <w:color w:val="7030A0"/>
                <w:sz w:val="32"/>
                <w:szCs w:val="32"/>
              </w:rPr>
              <w:t>IZM, ministrija</w:t>
            </w:r>
          </w:p>
        </w:tc>
        <w:tc>
          <w:tcPr>
            <w:tcW w:w="5812" w:type="dxa"/>
            <w:vAlign w:val="center"/>
          </w:tcPr>
          <w:p w14:paraId="74A65F8A" w14:textId="77777777" w:rsidR="00B80382" w:rsidRPr="002A7D65" w:rsidRDefault="00B80382" w:rsidP="002C51BB">
            <w:pPr>
              <w:ind w:firstLine="0"/>
              <w:jc w:val="left"/>
              <w:rPr>
                <w:sz w:val="32"/>
                <w:szCs w:val="32"/>
              </w:rPr>
            </w:pPr>
            <w:r w:rsidRPr="002A7D65">
              <w:rPr>
                <w:sz w:val="32"/>
                <w:szCs w:val="32"/>
              </w:rPr>
              <w:t>Izglītības un zinātnes ministrija</w:t>
            </w:r>
          </w:p>
        </w:tc>
      </w:tr>
      <w:tr w:rsidR="00B80382" w:rsidRPr="002A7D65" w14:paraId="0B4E0385" w14:textId="77777777" w:rsidTr="00E451C8">
        <w:trPr>
          <w:jc w:val="center"/>
        </w:trPr>
        <w:tc>
          <w:tcPr>
            <w:tcW w:w="1476" w:type="dxa"/>
            <w:shd w:val="clear" w:color="auto" w:fill="F2F2F2" w:themeFill="background1" w:themeFillShade="F2"/>
          </w:tcPr>
          <w:p w14:paraId="42E1D6EC" w14:textId="77777777" w:rsidR="00B80382" w:rsidRPr="002A7D65" w:rsidRDefault="00B80382" w:rsidP="002C51BB">
            <w:pPr>
              <w:ind w:firstLine="0"/>
              <w:jc w:val="center"/>
              <w:rPr>
                <w:b/>
                <w:color w:val="7030A0"/>
                <w:sz w:val="32"/>
                <w:szCs w:val="32"/>
              </w:rPr>
            </w:pPr>
            <w:r w:rsidRPr="002A7D65">
              <w:rPr>
                <w:b/>
                <w:color w:val="7030A0"/>
                <w:sz w:val="32"/>
                <w:szCs w:val="32"/>
              </w:rPr>
              <w:t>MKN</w:t>
            </w:r>
          </w:p>
        </w:tc>
        <w:tc>
          <w:tcPr>
            <w:tcW w:w="5812" w:type="dxa"/>
          </w:tcPr>
          <w:p w14:paraId="6CFEF01A" w14:textId="77777777" w:rsidR="00B80382" w:rsidRPr="002A7D65" w:rsidRDefault="00B80382" w:rsidP="002C51BB">
            <w:pPr>
              <w:ind w:firstLine="0"/>
              <w:jc w:val="left"/>
              <w:rPr>
                <w:sz w:val="32"/>
                <w:szCs w:val="32"/>
              </w:rPr>
            </w:pPr>
            <w:r w:rsidRPr="002A7D65">
              <w:rPr>
                <w:sz w:val="32"/>
                <w:szCs w:val="32"/>
              </w:rPr>
              <w:t>Ministru kabineta noteikumi</w:t>
            </w:r>
          </w:p>
        </w:tc>
      </w:tr>
      <w:tr w:rsidR="00B80382" w:rsidRPr="002A7D65" w14:paraId="7F91F0A9" w14:textId="77777777" w:rsidTr="00E451C8">
        <w:trPr>
          <w:jc w:val="center"/>
        </w:trPr>
        <w:tc>
          <w:tcPr>
            <w:tcW w:w="1476" w:type="dxa"/>
            <w:shd w:val="clear" w:color="auto" w:fill="F2F2F2" w:themeFill="background1" w:themeFillShade="F2"/>
          </w:tcPr>
          <w:p w14:paraId="4AE9B259" w14:textId="77777777" w:rsidR="00B80382" w:rsidRPr="002A7D65" w:rsidRDefault="00B80382" w:rsidP="002C51BB">
            <w:pPr>
              <w:ind w:firstLine="0"/>
              <w:jc w:val="center"/>
              <w:rPr>
                <w:b/>
                <w:color w:val="7030A0"/>
                <w:sz w:val="32"/>
                <w:szCs w:val="32"/>
              </w:rPr>
            </w:pPr>
            <w:r w:rsidRPr="002A7D65">
              <w:rPr>
                <w:b/>
                <w:color w:val="7030A0"/>
                <w:sz w:val="32"/>
                <w:szCs w:val="32"/>
              </w:rPr>
              <w:t>OECD</w:t>
            </w:r>
          </w:p>
        </w:tc>
        <w:tc>
          <w:tcPr>
            <w:tcW w:w="5812" w:type="dxa"/>
          </w:tcPr>
          <w:p w14:paraId="026BE08B" w14:textId="77777777" w:rsidR="00B80382" w:rsidRPr="002A7D65" w:rsidRDefault="00B80382" w:rsidP="002C51BB">
            <w:pPr>
              <w:ind w:firstLine="0"/>
              <w:jc w:val="left"/>
              <w:rPr>
                <w:sz w:val="32"/>
                <w:szCs w:val="32"/>
              </w:rPr>
            </w:pPr>
            <w:r w:rsidRPr="002A7D65">
              <w:rPr>
                <w:sz w:val="32"/>
                <w:szCs w:val="32"/>
              </w:rPr>
              <w:t>Ekonomiskās sadarbības un attīstības organizācija</w:t>
            </w:r>
          </w:p>
        </w:tc>
      </w:tr>
      <w:tr w:rsidR="00B80382" w:rsidRPr="002A7D65" w14:paraId="3185FB27" w14:textId="77777777" w:rsidTr="00E451C8">
        <w:trPr>
          <w:jc w:val="center"/>
        </w:trPr>
        <w:tc>
          <w:tcPr>
            <w:tcW w:w="1476" w:type="dxa"/>
            <w:shd w:val="clear" w:color="auto" w:fill="F2F2F2" w:themeFill="background1" w:themeFillShade="F2"/>
          </w:tcPr>
          <w:p w14:paraId="1CCA7E22" w14:textId="77777777" w:rsidR="00B80382" w:rsidRPr="002A7D65" w:rsidRDefault="00B80382" w:rsidP="002C51BB">
            <w:pPr>
              <w:ind w:firstLine="0"/>
              <w:jc w:val="center"/>
              <w:rPr>
                <w:b/>
                <w:color w:val="7030A0"/>
                <w:sz w:val="32"/>
                <w:szCs w:val="32"/>
              </w:rPr>
            </w:pPr>
            <w:r w:rsidRPr="002A7D65">
              <w:rPr>
                <w:b/>
                <w:color w:val="7030A0"/>
                <w:sz w:val="32"/>
                <w:szCs w:val="32"/>
              </w:rPr>
              <w:t>VIAA</w:t>
            </w:r>
          </w:p>
        </w:tc>
        <w:tc>
          <w:tcPr>
            <w:tcW w:w="5812" w:type="dxa"/>
          </w:tcPr>
          <w:p w14:paraId="1F5596C6" w14:textId="77777777" w:rsidR="00B80382" w:rsidRPr="002A7D65" w:rsidRDefault="00B80382" w:rsidP="002C51BB">
            <w:pPr>
              <w:ind w:firstLine="0"/>
              <w:jc w:val="left"/>
              <w:rPr>
                <w:sz w:val="32"/>
                <w:szCs w:val="32"/>
              </w:rPr>
            </w:pPr>
            <w:r w:rsidRPr="002A7D65">
              <w:rPr>
                <w:sz w:val="32"/>
                <w:szCs w:val="32"/>
              </w:rPr>
              <w:t>Valsts izglītības attīstības aģentūra</w:t>
            </w:r>
          </w:p>
        </w:tc>
      </w:tr>
      <w:tr w:rsidR="00B80382" w:rsidRPr="002A7D65" w14:paraId="5CD42F47" w14:textId="77777777" w:rsidTr="00E451C8">
        <w:trPr>
          <w:jc w:val="center"/>
        </w:trPr>
        <w:tc>
          <w:tcPr>
            <w:tcW w:w="1476" w:type="dxa"/>
            <w:shd w:val="clear" w:color="auto" w:fill="F2F2F2" w:themeFill="background1" w:themeFillShade="F2"/>
          </w:tcPr>
          <w:p w14:paraId="7C00DD1B" w14:textId="77777777" w:rsidR="00B80382" w:rsidRPr="002A7D65" w:rsidRDefault="00B80382" w:rsidP="002C51BB">
            <w:pPr>
              <w:ind w:firstLine="0"/>
              <w:jc w:val="center"/>
              <w:rPr>
                <w:b/>
                <w:color w:val="7030A0"/>
                <w:sz w:val="32"/>
                <w:szCs w:val="32"/>
              </w:rPr>
            </w:pPr>
            <w:r w:rsidRPr="002A7D65">
              <w:rPr>
                <w:b/>
                <w:color w:val="7030A0"/>
                <w:sz w:val="32"/>
                <w:szCs w:val="32"/>
              </w:rPr>
              <w:t>VIIS</w:t>
            </w:r>
          </w:p>
        </w:tc>
        <w:tc>
          <w:tcPr>
            <w:tcW w:w="5812" w:type="dxa"/>
          </w:tcPr>
          <w:p w14:paraId="482F6220" w14:textId="77777777" w:rsidR="00B80382" w:rsidRPr="002A7D65" w:rsidRDefault="00B80382" w:rsidP="002C51BB">
            <w:pPr>
              <w:ind w:firstLine="0"/>
              <w:jc w:val="left"/>
              <w:rPr>
                <w:sz w:val="32"/>
                <w:szCs w:val="32"/>
              </w:rPr>
            </w:pPr>
            <w:r w:rsidRPr="002A7D65">
              <w:rPr>
                <w:sz w:val="32"/>
                <w:szCs w:val="32"/>
              </w:rPr>
              <w:t>Valsts izglītības informācijas sistēma</w:t>
            </w:r>
          </w:p>
        </w:tc>
      </w:tr>
    </w:tbl>
    <w:p w14:paraId="5326A5D6" w14:textId="77777777" w:rsidR="00B80382" w:rsidRPr="002A7D65" w:rsidRDefault="00B80382" w:rsidP="00B80382">
      <w:pPr>
        <w:spacing w:after="160"/>
        <w:ind w:firstLine="0"/>
        <w:jc w:val="left"/>
      </w:pPr>
      <w:r w:rsidRPr="002A7D65">
        <w:br w:type="page"/>
      </w:r>
    </w:p>
    <w:p w14:paraId="0CB4E3ED" w14:textId="77777777" w:rsidR="00B80382" w:rsidRPr="002A7D65" w:rsidRDefault="00B80382" w:rsidP="00B80382"/>
    <w:p w14:paraId="1298C521" w14:textId="77777777" w:rsidR="00B80382" w:rsidRPr="002A7D65" w:rsidRDefault="00B80382" w:rsidP="006F1744">
      <w:pPr>
        <w:pStyle w:val="Heading1"/>
      </w:pPr>
      <w:bookmarkStart w:id="6" w:name="_Toc108618657"/>
      <w:bookmarkStart w:id="7" w:name="_Toc167452316"/>
      <w:r w:rsidRPr="002A7D65">
        <w:t>Augstākās izglītības finansēšana Latvijā un pasaules labā prakse</w:t>
      </w:r>
      <w:bookmarkEnd w:id="6"/>
      <w:bookmarkEnd w:id="7"/>
    </w:p>
    <w:p w14:paraId="09CF4827" w14:textId="77777777" w:rsidR="00B80382" w:rsidRPr="002A7D65" w:rsidRDefault="00B80382" w:rsidP="00B80382">
      <w:bookmarkStart w:id="8" w:name="_Toc108618658"/>
    </w:p>
    <w:p w14:paraId="700FA661" w14:textId="77777777" w:rsidR="00B80382" w:rsidRPr="002A7D65" w:rsidRDefault="00B80382" w:rsidP="006F1744">
      <w:pPr>
        <w:pStyle w:val="Heading2"/>
      </w:pPr>
      <w:bookmarkStart w:id="9" w:name="_Toc167452317"/>
      <w:r w:rsidRPr="002A7D65">
        <w:t>Augstākās izglītības finansēšana Latvijā</w:t>
      </w:r>
      <w:bookmarkEnd w:id="8"/>
      <w:bookmarkEnd w:id="9"/>
    </w:p>
    <w:p w14:paraId="236EC982" w14:textId="77777777" w:rsidR="00B80382" w:rsidRPr="002A7D65" w:rsidRDefault="00B80382" w:rsidP="00B80382"/>
    <w:p w14:paraId="6C3533DA" w14:textId="77777777" w:rsidR="00B80382" w:rsidRPr="002A7D65" w:rsidRDefault="00B80382" w:rsidP="00B80382">
      <w:r w:rsidRPr="002A7D65">
        <w:t>2015. gadā Ministru kabinets atbalstīja ministrijas izstrādāto konceptuālo ziņojumu “Jauna augstākās izglītības finansēšanas modeļa ieviešana Latvijā”</w:t>
      </w:r>
      <w:r w:rsidRPr="002A7D65">
        <w:rPr>
          <w:rStyle w:val="FootnoteReference"/>
        </w:rPr>
        <w:footnoteReference w:id="3"/>
      </w:r>
      <w:r w:rsidRPr="002A7D65">
        <w:t>. Šī ziņojuma ietvaros tika izvērtēts tā brīža Latvijas augstākās izglītības sistēmas sniegums un to, kādā veidā finansēšanas sistēma to veicina vai ierobežo. Konceptuālais ziņojums tika balstīts uz Pasaules bankas veikto pētījumu</w:t>
      </w:r>
      <w:r w:rsidRPr="002A7D65">
        <w:rPr>
          <w:rStyle w:val="FootnoteReference"/>
        </w:rPr>
        <w:footnoteReference w:id="4"/>
      </w:r>
      <w:r w:rsidRPr="002A7D65">
        <w:t xml:space="preserve">. Kā būtiskākais rezultāts finansēšanas reformai bija trīs pīlāru finansēšanas modeļa ieviešana, kas piešķirtu finansējumu ne tikai esošās kapacitātes uzturēšanai, bet arī balstoties uz augstākās izglītības iestāžu sniegumu un inovāciju kapacitāti. </w:t>
      </w:r>
    </w:p>
    <w:p w14:paraId="501311CE" w14:textId="77777777" w:rsidR="00B80382" w:rsidRPr="002A7D65" w:rsidRDefault="00B80382" w:rsidP="00B80382"/>
    <w:p w14:paraId="069EDCFD" w14:textId="31CB21C7" w:rsidR="00B80382" w:rsidRPr="002A7D65" w:rsidRDefault="00B80382" w:rsidP="00E84E42">
      <w:pPr>
        <w:jc w:val="right"/>
      </w:pPr>
      <w:r w:rsidRPr="002A7D65">
        <w:t>1.attēls</w:t>
      </w:r>
      <w:r w:rsidR="00543BFB" w:rsidRPr="002A7D65">
        <w:t xml:space="preserve"> Trīs pīlāru modelis</w:t>
      </w:r>
    </w:p>
    <w:p w14:paraId="17907E86" w14:textId="77777777" w:rsidR="00B80382" w:rsidRPr="002A7D65" w:rsidRDefault="00B80382" w:rsidP="00B80382">
      <w:r w:rsidRPr="002A7D65">
        <w:rPr>
          <w:noProof/>
        </w:rPr>
        <w:drawing>
          <wp:inline distT="0" distB="0" distL="0" distR="0" wp14:anchorId="272311F7" wp14:editId="0774F332">
            <wp:extent cx="5330085" cy="3915783"/>
            <wp:effectExtent l="0" t="0" r="4445" b="8890"/>
            <wp:docPr id="38" name="Picture 38" descr="A close-up of a 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close-up of a chart&#10;&#10;Description automatically generated with low confidence"/>
                    <pic:cNvPicPr/>
                  </pic:nvPicPr>
                  <pic:blipFill rotWithShape="1">
                    <a:blip r:embed="rId9">
                      <a:extLst>
                        <a:ext uri="{28A0092B-C50C-407E-A947-70E740481C1C}">
                          <a14:useLocalDpi xmlns:a14="http://schemas.microsoft.com/office/drawing/2010/main" val="0"/>
                        </a:ext>
                      </a:extLst>
                    </a:blip>
                    <a:srcRect l="24720" t="5588" r="2993"/>
                    <a:stretch/>
                  </pic:blipFill>
                  <pic:spPr bwMode="auto">
                    <a:xfrm>
                      <a:off x="0" y="0"/>
                      <a:ext cx="5347740" cy="3928753"/>
                    </a:xfrm>
                    <a:prstGeom prst="rect">
                      <a:avLst/>
                    </a:prstGeom>
                    <a:ln>
                      <a:noFill/>
                    </a:ln>
                    <a:extLst>
                      <a:ext uri="{53640926-AAD7-44D8-BBD7-CCE9431645EC}">
                        <a14:shadowObscured xmlns:a14="http://schemas.microsoft.com/office/drawing/2010/main"/>
                      </a:ext>
                    </a:extLst>
                  </pic:spPr>
                </pic:pic>
              </a:graphicData>
            </a:graphic>
          </wp:inline>
        </w:drawing>
      </w:r>
    </w:p>
    <w:p w14:paraId="1D529F64" w14:textId="77777777" w:rsidR="00B80382" w:rsidRPr="002A7D65" w:rsidRDefault="00B80382" w:rsidP="00B80382">
      <w:r w:rsidRPr="002A7D65">
        <w:t xml:space="preserve">Tāpat arī konceptuālā ziņojuma ietvaros tika paredzēti vairāki scenāriji atbilstoši tam, cik daudz valsts resursi tiktu ieguldīti sistēmā. </w:t>
      </w:r>
    </w:p>
    <w:p w14:paraId="05B98876" w14:textId="77777777" w:rsidR="00B80382" w:rsidRPr="002A7D65" w:rsidRDefault="00B80382" w:rsidP="00B80382">
      <w:r w:rsidRPr="002A7D65">
        <w:t>Pasaules Bankas pētījuma ietvaros tika izvirzīti trīs scenāriji augstākās izglītības reformas ieviešanai:</w:t>
      </w:r>
    </w:p>
    <w:p w14:paraId="39B4D522" w14:textId="77777777" w:rsidR="00B80382" w:rsidRPr="002A7D65" w:rsidRDefault="00B80382" w:rsidP="006F6FB0">
      <w:pPr>
        <w:pStyle w:val="ListParagraph"/>
        <w:numPr>
          <w:ilvl w:val="0"/>
          <w:numId w:val="4"/>
        </w:numPr>
        <w:rPr>
          <w:rFonts w:asciiTheme="minorHAnsi" w:hAnsiTheme="minorHAnsi" w:cstheme="minorHAnsi"/>
          <w:sz w:val="24"/>
          <w:szCs w:val="36"/>
        </w:rPr>
      </w:pPr>
      <w:r w:rsidRPr="002A7D65">
        <w:rPr>
          <w:rFonts w:asciiTheme="minorHAnsi" w:hAnsiTheme="minorHAnsi" w:cstheme="minorHAnsi"/>
          <w:sz w:val="24"/>
          <w:szCs w:val="36"/>
        </w:rPr>
        <w:lastRenderedPageBreak/>
        <w:t>zināšanu sabiedrības attīstības scenārijs;</w:t>
      </w:r>
    </w:p>
    <w:p w14:paraId="69615104" w14:textId="77777777" w:rsidR="00B80382" w:rsidRPr="002A7D65" w:rsidRDefault="00B80382" w:rsidP="006F6FB0">
      <w:pPr>
        <w:pStyle w:val="ListParagraph"/>
        <w:numPr>
          <w:ilvl w:val="0"/>
          <w:numId w:val="4"/>
        </w:numPr>
        <w:rPr>
          <w:rFonts w:asciiTheme="minorHAnsi" w:hAnsiTheme="minorHAnsi" w:cstheme="minorHAnsi"/>
          <w:sz w:val="24"/>
          <w:szCs w:val="36"/>
        </w:rPr>
      </w:pPr>
      <w:r w:rsidRPr="002A7D65">
        <w:rPr>
          <w:rFonts w:asciiTheme="minorHAnsi" w:hAnsiTheme="minorHAnsi" w:cstheme="minorHAnsi"/>
          <w:sz w:val="24"/>
          <w:szCs w:val="36"/>
        </w:rPr>
        <w:t>ierobežotas izaugsmes scenārijs;</w:t>
      </w:r>
    </w:p>
    <w:p w14:paraId="556DF439" w14:textId="77777777" w:rsidR="00B80382" w:rsidRPr="002A7D65" w:rsidRDefault="00B80382" w:rsidP="006F6FB0">
      <w:pPr>
        <w:pStyle w:val="ListParagraph"/>
        <w:numPr>
          <w:ilvl w:val="0"/>
          <w:numId w:val="4"/>
        </w:numPr>
        <w:rPr>
          <w:rFonts w:asciiTheme="minorHAnsi" w:hAnsiTheme="minorHAnsi" w:cstheme="minorHAnsi"/>
          <w:sz w:val="24"/>
          <w:szCs w:val="36"/>
        </w:rPr>
      </w:pPr>
      <w:r w:rsidRPr="002A7D65">
        <w:rPr>
          <w:rFonts w:asciiTheme="minorHAnsi" w:hAnsiTheme="minorHAnsi" w:cstheme="minorHAnsi"/>
          <w:sz w:val="24"/>
          <w:szCs w:val="36"/>
        </w:rPr>
        <w:t>nepietiekamības scenārijs.</w:t>
      </w:r>
    </w:p>
    <w:p w14:paraId="763F0C84" w14:textId="77777777" w:rsidR="00B80382" w:rsidRPr="002A7D65" w:rsidRDefault="00B80382" w:rsidP="00B80382">
      <w:r w:rsidRPr="002A7D65">
        <w:t xml:space="preserve">Saskaņā ar minētajiem scenārijiem sniegumā balstītu finansēšanas instrumentu ieviešana notiek proporcionāli finansējuma līmeņa pieaugumam. Visi scenāriji piedāvā iespēju padarīt sistēmu konkurētspējīgāku un orientētu uz kvalitāti, tomēr nepietiekama finansējuma gadījumā, pat saglabājot stabilu bāzes finansējumu, konkurētspējas un kvalitātes pieaugums stagnēs. </w:t>
      </w:r>
    </w:p>
    <w:p w14:paraId="61572827" w14:textId="77777777" w:rsidR="00543BFB" w:rsidRPr="002A7D65" w:rsidRDefault="00543BFB" w:rsidP="00543BFB"/>
    <w:p w14:paraId="1C91A45B" w14:textId="61AAD715" w:rsidR="00543BFB" w:rsidRPr="002A7D65" w:rsidRDefault="00543BFB" w:rsidP="00E84E42">
      <w:pPr>
        <w:jc w:val="right"/>
      </w:pPr>
      <w:r w:rsidRPr="002A7D65">
        <w:t>2.attēls Valsts finansējums uz vienu studējošo Baltijas valstīs</w:t>
      </w:r>
      <w:r w:rsidR="003121AE" w:rsidRPr="002A7D65">
        <w:rPr>
          <w:rStyle w:val="FootnoteReference"/>
        </w:rPr>
        <w:footnoteReference w:id="5"/>
      </w:r>
    </w:p>
    <w:p w14:paraId="6BD00DAD" w14:textId="72220D09" w:rsidR="00B80382" w:rsidRPr="002A7D65" w:rsidRDefault="00543BFB" w:rsidP="00B80382">
      <w:r w:rsidRPr="002A7D65">
        <w:rPr>
          <w:noProof/>
          <w14:ligatures w14:val="standardContextual"/>
        </w:rPr>
        <w:drawing>
          <wp:inline distT="0" distB="0" distL="0" distR="0" wp14:anchorId="1F5B0D3B" wp14:editId="38640A42">
            <wp:extent cx="5670550" cy="3634105"/>
            <wp:effectExtent l="0" t="0" r="6350" b="4445"/>
            <wp:docPr id="1713396357" name="Chart 1">
              <a:extLst xmlns:a="http://schemas.openxmlformats.org/drawingml/2006/main">
                <a:ext uri="{FF2B5EF4-FFF2-40B4-BE49-F238E27FC236}">
                  <a16:creationId xmlns:a16="http://schemas.microsoft.com/office/drawing/2014/main" id="{51FF38EE-E042-A8FB-2593-DD08BDCCE4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7A98B14" w14:textId="206F1767" w:rsidR="00B80382" w:rsidRPr="002A7D65" w:rsidRDefault="00B80382" w:rsidP="00B80382">
      <w:r w:rsidRPr="002A7D65">
        <w:t xml:space="preserve">Līdz šim Latvijā augstākās izglītības </w:t>
      </w:r>
      <w:r w:rsidRPr="002A7D65">
        <w:rPr>
          <w:b/>
          <w:bCs/>
        </w:rPr>
        <w:t>sektors ir finansēts pēc nepietiekamības scenārija</w:t>
      </w:r>
      <w:r w:rsidRPr="002A7D65">
        <w:t xml:space="preserve">. Sekojot Pasaules bankas ekspertu ieteikumiem, Latvijas augstākās izglītības sistēmā notiek pārvaldības reforma, kas veicinās augstākās izglītības </w:t>
      </w:r>
      <w:proofErr w:type="spellStart"/>
      <w:r w:rsidRPr="002A7D65">
        <w:t>pārskatatbildību</w:t>
      </w:r>
      <w:proofErr w:type="spellEnd"/>
      <w:r w:rsidRPr="002A7D65">
        <w:t xml:space="preserve"> un resursu efektīvu izmantošanu. Tomēr pat pie efektīvākas resursu izmantošanas esošais sistēmas resursu apjoms nav pietiekams, lai</w:t>
      </w:r>
      <w:r w:rsidR="00543329">
        <w:t xml:space="preserve"> pilnībā</w:t>
      </w:r>
      <w:r w:rsidRPr="002A7D65">
        <w:t xml:space="preserve"> atbilstu vietējā darba tirgus un tautsaimniecības attīstības vajadzībām</w:t>
      </w:r>
      <w:r w:rsidR="00543329">
        <w:t xml:space="preserve"> pēc augstas raudzes cilvēkkapitāla</w:t>
      </w:r>
      <w:r w:rsidRPr="002A7D65">
        <w:t xml:space="preserve"> un sasniegtu starptautisko konkurētspēju. </w:t>
      </w:r>
    </w:p>
    <w:p w14:paraId="2E494107" w14:textId="77777777" w:rsidR="00B80382" w:rsidRPr="002A7D65" w:rsidRDefault="00B80382" w:rsidP="00B80382">
      <w:pPr>
        <w:rPr>
          <w:lang w:eastAsia="lv-LV"/>
        </w:rPr>
      </w:pPr>
      <w:r w:rsidRPr="002A7D65">
        <w:rPr>
          <w:lang w:eastAsia="lv-LV"/>
        </w:rPr>
        <w:t xml:space="preserve"> </w:t>
      </w:r>
    </w:p>
    <w:p w14:paraId="69E442BF" w14:textId="660BA836" w:rsidR="00B80382" w:rsidRPr="002A7D65" w:rsidRDefault="004A5EEA" w:rsidP="00E84E42">
      <w:pPr>
        <w:jc w:val="right"/>
      </w:pPr>
      <w:r w:rsidRPr="002A7D65">
        <w:t>3</w:t>
      </w:r>
      <w:r w:rsidR="00B80382" w:rsidRPr="002A7D65">
        <w:t>.attēls Publiskie izdevumi augstākajai izglītībai, īpatsvars (%) no iekšzemes kopprodukta, 20</w:t>
      </w:r>
      <w:r w:rsidR="000F4052" w:rsidRPr="002A7D65">
        <w:t xml:space="preserve">20. </w:t>
      </w:r>
      <w:r w:rsidR="00B80382" w:rsidRPr="002A7D65">
        <w:t>gada dati</w:t>
      </w:r>
      <w:r w:rsidR="00B80382" w:rsidRPr="002A7D65">
        <w:rPr>
          <w:vertAlign w:val="superscript"/>
        </w:rPr>
        <w:footnoteReference w:id="6"/>
      </w:r>
    </w:p>
    <w:p w14:paraId="74E18DAC" w14:textId="77777777" w:rsidR="00B80382" w:rsidRPr="002A7D65" w:rsidRDefault="00B80382" w:rsidP="00B80382">
      <w:pPr>
        <w:rPr>
          <w:rFonts w:ascii="Verdana" w:eastAsia="Verdana" w:hAnsi="Verdana" w:cs="Verdana"/>
          <w:b/>
          <w:bCs/>
        </w:rPr>
      </w:pPr>
    </w:p>
    <w:p w14:paraId="0C04FC18" w14:textId="0445883C" w:rsidR="00B80382" w:rsidRPr="002A7D65" w:rsidRDefault="00D718EB" w:rsidP="00B80382">
      <w:r w:rsidRPr="002A7D65">
        <w:rPr>
          <w:noProof/>
          <w14:ligatures w14:val="standardContextual"/>
        </w:rPr>
        <w:lastRenderedPageBreak/>
        <w:drawing>
          <wp:inline distT="0" distB="0" distL="0" distR="0" wp14:anchorId="7A881CF1" wp14:editId="70462F62">
            <wp:extent cx="5670550" cy="3844290"/>
            <wp:effectExtent l="0" t="0" r="6350" b="3810"/>
            <wp:docPr id="1488374521" name="Chart 1">
              <a:extLst xmlns:a="http://schemas.openxmlformats.org/drawingml/2006/main">
                <a:ext uri="{FF2B5EF4-FFF2-40B4-BE49-F238E27FC236}">
                  <a16:creationId xmlns:a16="http://schemas.microsoft.com/office/drawing/2014/main" id="{01C94438-E2EA-3C0D-6F3D-82F6155A1A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647DAE5" w14:textId="77777777" w:rsidR="00B80382" w:rsidRPr="002A7D65" w:rsidRDefault="00B80382" w:rsidP="00B80382"/>
    <w:p w14:paraId="4A5029F0" w14:textId="72B0E1FE" w:rsidR="007C7E43" w:rsidRPr="002A7D65" w:rsidRDefault="007C7E43" w:rsidP="007C7E43">
      <w:r w:rsidRPr="002A7D65">
        <w:rPr>
          <w:rFonts w:eastAsiaTheme="minorEastAsia"/>
        </w:rPr>
        <w:t xml:space="preserve">Līdz vidējam augstākās izglītības finansēšanas līmenim ES  valstīs, rēķinot ar Latvijas iekšzemes kopproduktu 2022.gadā, pašlaik pietrūkst 62 milj. </w:t>
      </w:r>
      <w:r w:rsidR="00C16B07" w:rsidRPr="00C16B07">
        <w:rPr>
          <w:rFonts w:eastAsiaTheme="minorEastAsia"/>
          <w:i/>
          <w:iCs/>
        </w:rPr>
        <w:t>euro</w:t>
      </w:r>
      <w:r w:rsidRPr="002A7D65">
        <w:rPr>
          <w:rFonts w:eastAsiaTheme="minorEastAsia"/>
        </w:rPr>
        <w:t xml:space="preserve">. Līdz Igaunijas līmenim ~ 180 milj. </w:t>
      </w:r>
      <w:r w:rsidR="00C16B07" w:rsidRPr="00C16B07">
        <w:rPr>
          <w:rFonts w:eastAsiaTheme="minorEastAsia"/>
          <w:i/>
          <w:iCs/>
        </w:rPr>
        <w:t>euro</w:t>
      </w:r>
      <w:r w:rsidRPr="002A7D65">
        <w:rPr>
          <w:rFonts w:eastAsiaTheme="minorEastAsia"/>
        </w:rPr>
        <w:t xml:space="preserve">, kas orientējoši atspoguļo pilnībā valsts dotētas augstākās izglītības ieviešanas izmaksas. Vienīgais veids, kā pāriet uz pilnībā valsts dotētu augstāko izglītību pie nepilnīgajiem resursiem ir caur pieejamības samazināšanu. Ņemot vērā pieaugošu pieprasījumu pēc darbiniekiem ar augstu kvalifikāciju, </w:t>
      </w:r>
      <w:r w:rsidR="00B3275E" w:rsidRPr="002A7D65">
        <w:rPr>
          <w:rFonts w:eastAsiaTheme="minorEastAsia"/>
        </w:rPr>
        <w:t>augstākās izglītības pieejamības samazināšana neatbilst valsts prioritātēm. Šī iemesla dēļ,</w:t>
      </w:r>
      <w:r w:rsidR="00B3275E" w:rsidRPr="002A7D65">
        <w:rPr>
          <w:rFonts w:eastAsiaTheme="minorEastAsia"/>
          <w:b/>
          <w:bCs/>
        </w:rPr>
        <w:t xml:space="preserve"> v</w:t>
      </w:r>
      <w:r w:rsidRPr="002A7D65">
        <w:rPr>
          <w:rFonts w:eastAsiaTheme="minorEastAsia"/>
          <w:b/>
          <w:bCs/>
        </w:rPr>
        <w:t xml:space="preserve">idējā termiņa budžetā papildus nepieciešamais finansējums ir vismaz 60 milj. </w:t>
      </w:r>
      <w:r w:rsidR="00C16B07" w:rsidRPr="00C16B07">
        <w:rPr>
          <w:rFonts w:eastAsiaTheme="minorEastAsia"/>
          <w:b/>
          <w:bCs/>
          <w:i/>
          <w:iCs/>
        </w:rPr>
        <w:t>euro</w:t>
      </w:r>
      <w:r w:rsidRPr="002A7D65">
        <w:rPr>
          <w:rFonts w:eastAsiaTheme="minorEastAsia"/>
          <w:b/>
          <w:bCs/>
        </w:rPr>
        <w:t>, kas ļautu tuvoties vidējām ES finansēšanas līmenim</w:t>
      </w:r>
      <w:r w:rsidRPr="002A7D65">
        <w:rPr>
          <w:rFonts w:eastAsiaTheme="minorEastAsia"/>
        </w:rPr>
        <w:t>. Tas  būtu sadalāms starp pirmo, otro un trešo pīlāru- aktualizējot studiju izmaksas, ieviešot jaunus snieguma rādītājus un izcilības iniciatīvas.</w:t>
      </w:r>
    </w:p>
    <w:p w14:paraId="480F1A32" w14:textId="77777777" w:rsidR="00B80382" w:rsidRPr="002A7D65" w:rsidRDefault="00B80382" w:rsidP="00B80382"/>
    <w:p w14:paraId="066CCBF4" w14:textId="77777777" w:rsidR="00B80382" w:rsidRPr="002A7D65" w:rsidRDefault="00B80382" w:rsidP="00B80382"/>
    <w:p w14:paraId="16D916AD" w14:textId="77777777" w:rsidR="00B80382" w:rsidRPr="002A7D65" w:rsidRDefault="00B80382" w:rsidP="006F1744">
      <w:pPr>
        <w:pStyle w:val="Heading3"/>
      </w:pPr>
      <w:bookmarkStart w:id="10" w:name="_Toc108618659"/>
      <w:bookmarkStart w:id="11" w:name="_Toc167452318"/>
      <w:r w:rsidRPr="002A7D65">
        <w:t>Pašreizējās augstākās izglītības finansēšanas sistēmas trūkumi</w:t>
      </w:r>
      <w:bookmarkEnd w:id="10"/>
      <w:bookmarkEnd w:id="11"/>
    </w:p>
    <w:p w14:paraId="2147A5D2" w14:textId="77777777" w:rsidR="00B80382" w:rsidRPr="002A7D65" w:rsidRDefault="00B80382" w:rsidP="00B80382"/>
    <w:p w14:paraId="54B11AE4" w14:textId="7897F6FB" w:rsidR="00B80382" w:rsidRPr="002A7D65" w:rsidRDefault="00B80382" w:rsidP="00B80382">
      <w:r w:rsidRPr="002A7D65">
        <w:t>Latvijas augstākās izglītības sniegums vairākos aspektos iepaliek no citām reģiona valstīm. Latvijas augstākās izglītības finansēšanas sistēmai ir nepieciešama pilnveide, lai varētu veicināt papildu resursu ieplūšanu sistēmā, augstākās izglītības sasaisti ar valsts attīstības stratēģiskajiem mērķiem, kā arī stimulēt izcilību un stratēģisko specializāciju.</w:t>
      </w:r>
    </w:p>
    <w:p w14:paraId="2961801C" w14:textId="77777777" w:rsidR="00B80382" w:rsidRPr="002A7D65" w:rsidRDefault="00B80382" w:rsidP="00B80382">
      <w:r w:rsidRPr="002A7D65">
        <w:t>2020. gadā Saeimas pasūtītajā pētījumā par bezmaksas augstākās izglītības ieviešanas iespējām Latvijā</w:t>
      </w:r>
      <w:r w:rsidRPr="002A7D65">
        <w:rPr>
          <w:rStyle w:val="FootnoteReference"/>
        </w:rPr>
        <w:footnoteReference w:id="7"/>
      </w:r>
      <w:r w:rsidRPr="002A7D65">
        <w:t xml:space="preserve"> tika salīdzināts Latvijas augstākās izglītības sniegums ar citām reģiona </w:t>
      </w:r>
      <w:r w:rsidRPr="002A7D65">
        <w:lastRenderedPageBreak/>
        <w:t>valstīm. Salīdzinot Latvijas sniegumu ar citām Baltijas un Ziemeļvalstu reģiona valstīm, ir secināmi šādi aspekti:</w:t>
      </w:r>
    </w:p>
    <w:p w14:paraId="1C7C7F80" w14:textId="77777777" w:rsidR="00B80382" w:rsidRPr="002A7D65" w:rsidRDefault="00B80382" w:rsidP="00B80382"/>
    <w:p w14:paraId="6F34165B" w14:textId="77777777" w:rsidR="00B80382" w:rsidRDefault="00B80382" w:rsidP="00B80382">
      <w:pPr>
        <w:pStyle w:val="ListParagraph"/>
        <w:numPr>
          <w:ilvl w:val="0"/>
          <w:numId w:val="3"/>
        </w:numPr>
        <w:rPr>
          <w:rFonts w:asciiTheme="minorHAnsi" w:hAnsiTheme="minorHAnsi" w:cstheme="minorHAnsi"/>
          <w:sz w:val="24"/>
          <w:szCs w:val="36"/>
        </w:rPr>
      </w:pPr>
      <w:r w:rsidRPr="002A7D65">
        <w:rPr>
          <w:rFonts w:asciiTheme="minorHAnsi" w:hAnsiTheme="minorHAnsi" w:cstheme="minorHAnsi"/>
          <w:sz w:val="24"/>
          <w:szCs w:val="36"/>
        </w:rPr>
        <w:t>Latvijai</w:t>
      </w:r>
      <w:r w:rsidRPr="002A7D65" w:rsidDel="00922E5D">
        <w:rPr>
          <w:rFonts w:asciiTheme="minorHAnsi" w:hAnsiTheme="minorHAnsi" w:cstheme="minorHAnsi"/>
          <w:sz w:val="24"/>
          <w:szCs w:val="36"/>
        </w:rPr>
        <w:t xml:space="preserve"> </w:t>
      </w:r>
      <w:r w:rsidRPr="002A7D65">
        <w:rPr>
          <w:rFonts w:asciiTheme="minorHAnsi" w:hAnsiTheme="minorHAnsi" w:cstheme="minorHAnsi"/>
          <w:sz w:val="24"/>
          <w:szCs w:val="36"/>
        </w:rPr>
        <w:t>ir otrais zemākais iedzīvotāju ar augstāko izglītību īpatsvars pēc Somijas;</w:t>
      </w:r>
    </w:p>
    <w:p w14:paraId="73CB7389" w14:textId="36B6E613" w:rsidR="00345087" w:rsidRPr="002A7D65" w:rsidRDefault="00345087" w:rsidP="00B80382">
      <w:pPr>
        <w:pStyle w:val="ListParagraph"/>
        <w:numPr>
          <w:ilvl w:val="0"/>
          <w:numId w:val="3"/>
        </w:numPr>
        <w:rPr>
          <w:rFonts w:asciiTheme="minorHAnsi" w:hAnsiTheme="minorHAnsi" w:cstheme="minorHAnsi"/>
          <w:sz w:val="24"/>
          <w:szCs w:val="36"/>
        </w:rPr>
      </w:pPr>
      <w:r>
        <w:rPr>
          <w:rFonts w:asciiTheme="minorHAnsi" w:hAnsiTheme="minorHAnsi" w:cstheme="minorHAnsi"/>
          <w:sz w:val="24"/>
          <w:szCs w:val="36"/>
        </w:rPr>
        <w:t xml:space="preserve">ir negatīva tendence, ka </w:t>
      </w:r>
      <w:r w:rsidR="00122004">
        <w:rPr>
          <w:rFonts w:asciiTheme="minorHAnsi" w:hAnsiTheme="minorHAnsi" w:cstheme="minorHAnsi"/>
          <w:sz w:val="24"/>
          <w:szCs w:val="36"/>
        </w:rPr>
        <w:t>Latvijā mazāk, nekā vidēji OECD jaunieši (25-34 gadu vecumā) iegūst augstāko izglītību (4. attēls);</w:t>
      </w:r>
    </w:p>
    <w:p w14:paraId="768DABC5" w14:textId="1170B62A" w:rsidR="00345087" w:rsidRPr="00345087" w:rsidRDefault="00B80382" w:rsidP="00345087">
      <w:pPr>
        <w:pStyle w:val="ListParagraph"/>
        <w:numPr>
          <w:ilvl w:val="0"/>
          <w:numId w:val="3"/>
        </w:numPr>
        <w:rPr>
          <w:rFonts w:asciiTheme="minorHAnsi" w:hAnsiTheme="minorHAnsi" w:cstheme="minorHAnsi"/>
          <w:sz w:val="24"/>
          <w:szCs w:val="36"/>
        </w:rPr>
      </w:pPr>
      <w:r w:rsidRPr="002A7D65">
        <w:rPr>
          <w:rFonts w:asciiTheme="minorHAnsi" w:hAnsiTheme="minorHAnsi" w:cstheme="minorHAnsi"/>
          <w:sz w:val="24"/>
          <w:szCs w:val="36"/>
        </w:rPr>
        <w:t>studējošo īpatsvars no kopējā iedzīvotāju skaita 20-25 gadu vecumā Latvijā ir salīdzinoši augsts;</w:t>
      </w:r>
    </w:p>
    <w:p w14:paraId="15AEFDF3" w14:textId="56FF029E" w:rsidR="00B80382" w:rsidRPr="002A7D65" w:rsidRDefault="00B80382" w:rsidP="00B80382">
      <w:pPr>
        <w:pStyle w:val="ListParagraph"/>
        <w:numPr>
          <w:ilvl w:val="0"/>
          <w:numId w:val="3"/>
        </w:numPr>
        <w:rPr>
          <w:rFonts w:asciiTheme="minorHAnsi" w:hAnsiTheme="minorHAnsi" w:cstheme="minorBidi"/>
          <w:sz w:val="24"/>
        </w:rPr>
      </w:pPr>
      <w:r w:rsidRPr="002A7D65">
        <w:rPr>
          <w:rFonts w:asciiTheme="minorHAnsi" w:hAnsiTheme="minorHAnsi" w:cstheme="minorBidi"/>
          <w:sz w:val="24"/>
        </w:rPr>
        <w:t>lai gan dati par studējošo atbirumu ir ierobežoti un bieži vien grūti salīdzināmi metodoloģi</w:t>
      </w:r>
      <w:r w:rsidR="00503347" w:rsidRPr="002A7D65">
        <w:rPr>
          <w:rFonts w:asciiTheme="minorHAnsi" w:hAnsiTheme="minorHAnsi" w:cstheme="minorBidi"/>
          <w:sz w:val="24"/>
        </w:rPr>
        <w:t>sko</w:t>
      </w:r>
      <w:r w:rsidRPr="002A7D65">
        <w:rPr>
          <w:rFonts w:asciiTheme="minorHAnsi" w:hAnsiTheme="minorHAnsi" w:cstheme="minorBidi"/>
          <w:sz w:val="24"/>
        </w:rPr>
        <w:t xml:space="preserve"> </w:t>
      </w:r>
      <w:r w:rsidR="00503347" w:rsidRPr="002A7D65">
        <w:rPr>
          <w:rFonts w:asciiTheme="minorHAnsi" w:hAnsiTheme="minorHAnsi" w:cstheme="minorBidi"/>
          <w:sz w:val="24"/>
        </w:rPr>
        <w:t>atšķirību dēļ</w:t>
      </w:r>
      <w:r w:rsidRPr="002A7D65">
        <w:rPr>
          <w:rFonts w:asciiTheme="minorHAnsi" w:hAnsiTheme="minorHAnsi" w:cstheme="minorBidi"/>
          <w:sz w:val="24"/>
        </w:rPr>
        <w:t>, Latvijā atbirums ir virs vidējā Ziemeļvalstīs, kaut arī zem vidējā Ekonomiskās sadarbības un attīstības organizācijas (turpmāk - OECD) dalībvalstīs;</w:t>
      </w:r>
    </w:p>
    <w:p w14:paraId="75511343" w14:textId="77777777" w:rsidR="00B80382" w:rsidRPr="002A7D65" w:rsidRDefault="00B80382" w:rsidP="00B80382">
      <w:pPr>
        <w:pStyle w:val="ListParagraph"/>
        <w:numPr>
          <w:ilvl w:val="0"/>
          <w:numId w:val="3"/>
        </w:numPr>
        <w:rPr>
          <w:rFonts w:asciiTheme="minorHAnsi" w:hAnsiTheme="minorHAnsi" w:cstheme="minorHAnsi"/>
          <w:sz w:val="24"/>
          <w:szCs w:val="36"/>
        </w:rPr>
      </w:pPr>
      <w:r w:rsidRPr="002A7D65">
        <w:rPr>
          <w:rFonts w:asciiTheme="minorHAnsi" w:hAnsiTheme="minorHAnsi" w:cstheme="minorHAnsi"/>
          <w:sz w:val="24"/>
          <w:szCs w:val="36"/>
        </w:rPr>
        <w:t>Latvijā ir vieni no zemākajiem kopējiem (publiskajiem un privātajiem) izdevumiem uz vienu studējošo Eiropas OECD valstīs un otrie zemākie reģionā pēc Lietuvas;</w:t>
      </w:r>
    </w:p>
    <w:p w14:paraId="425CF630" w14:textId="19E68A59" w:rsidR="00B80382" w:rsidRPr="002A7D65" w:rsidRDefault="00B80382" w:rsidP="00B80382">
      <w:pPr>
        <w:pStyle w:val="ListParagraph"/>
        <w:numPr>
          <w:ilvl w:val="0"/>
          <w:numId w:val="3"/>
        </w:numPr>
        <w:ind w:firstLine="0"/>
        <w:rPr>
          <w:rFonts w:cstheme="minorBidi"/>
        </w:rPr>
      </w:pPr>
      <w:r w:rsidRPr="002A7D65">
        <w:rPr>
          <w:rFonts w:asciiTheme="minorHAnsi" w:hAnsiTheme="minorHAnsi" w:cstheme="minorBidi"/>
          <w:sz w:val="24"/>
        </w:rPr>
        <w:t>vērtējot izdevumus pret IKP, Latvija tie ir ievērojami zemāki nekā vidēji ES un OECD valstīm. Salīdzinot ar Igauniju, Latvijai ir zemāks gan publisko, gan privāto līdzekļu ieguldījums pret IKP augstākajā izglītībā;</w:t>
      </w:r>
    </w:p>
    <w:p w14:paraId="035D6B3B" w14:textId="21CA4285" w:rsidR="00B80382" w:rsidRPr="002A7D65" w:rsidRDefault="00B80382" w:rsidP="00B80382">
      <w:pPr>
        <w:pStyle w:val="ListParagraph"/>
        <w:ind w:firstLine="0"/>
        <w:rPr>
          <w:rFonts w:cstheme="minorBidi"/>
        </w:rPr>
      </w:pPr>
    </w:p>
    <w:p w14:paraId="31E7571B" w14:textId="2374A3B9" w:rsidR="00B80382" w:rsidRPr="002A7D65" w:rsidRDefault="00B80382" w:rsidP="00C94853">
      <w:pPr>
        <w:pStyle w:val="ListParagraph"/>
        <w:jc w:val="right"/>
        <w:rPr>
          <w:lang w:eastAsia="ru-RU"/>
        </w:rPr>
      </w:pPr>
      <w:r w:rsidRPr="002A7D65">
        <w:tab/>
      </w:r>
      <w:r w:rsidR="004A5EEA" w:rsidRPr="00C94853">
        <w:rPr>
          <w:rFonts w:asciiTheme="minorHAnsi" w:hAnsiTheme="minorHAnsi"/>
          <w:sz w:val="24"/>
        </w:rPr>
        <w:t>4</w:t>
      </w:r>
      <w:r w:rsidRPr="00C94853">
        <w:rPr>
          <w:rFonts w:asciiTheme="minorHAnsi" w:hAnsiTheme="minorHAnsi"/>
          <w:sz w:val="24"/>
        </w:rPr>
        <w:t>. attēls: Iedzīvotāju īpatsvars ar augstāko izglītību OECD valstīs 25-34 gadu vecumā 20</w:t>
      </w:r>
      <w:r w:rsidR="00526FCB" w:rsidRPr="00C94853">
        <w:rPr>
          <w:rFonts w:asciiTheme="minorHAnsi" w:hAnsiTheme="minorHAnsi"/>
          <w:sz w:val="24"/>
        </w:rPr>
        <w:t>22</w:t>
      </w:r>
      <w:r w:rsidRPr="00C94853">
        <w:rPr>
          <w:rFonts w:asciiTheme="minorHAnsi" w:hAnsiTheme="minorHAnsi"/>
          <w:sz w:val="24"/>
        </w:rPr>
        <w:t>. gadā</w:t>
      </w:r>
      <w:r w:rsidRPr="002A7D65">
        <w:rPr>
          <w:rStyle w:val="FootnoteReference"/>
          <w:lang w:eastAsia="ru-RU"/>
        </w:rPr>
        <w:footnoteReference w:id="8"/>
      </w:r>
    </w:p>
    <w:p w14:paraId="130561C8" w14:textId="49500AFB" w:rsidR="00B80382" w:rsidRPr="002A7D65" w:rsidRDefault="00A764CB" w:rsidP="00B80382">
      <w:pPr>
        <w:rPr>
          <w:lang w:eastAsia="ru-RU"/>
        </w:rPr>
      </w:pPr>
      <w:r w:rsidRPr="002A7D65">
        <w:rPr>
          <w:noProof/>
          <w14:ligatures w14:val="standardContextual"/>
        </w:rPr>
        <w:drawing>
          <wp:inline distT="0" distB="0" distL="0" distR="0" wp14:anchorId="1EC2185A" wp14:editId="713C6988">
            <wp:extent cx="5670550" cy="3426460"/>
            <wp:effectExtent l="0" t="0" r="6350" b="2540"/>
            <wp:docPr id="1432609259" name="Chart 1">
              <a:extLst xmlns:a="http://schemas.openxmlformats.org/drawingml/2006/main">
                <a:ext uri="{FF2B5EF4-FFF2-40B4-BE49-F238E27FC236}">
                  <a16:creationId xmlns:a16="http://schemas.microsoft.com/office/drawing/2014/main" id="{016B975A-1E0B-9D3E-3D1E-0A92791194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084E742" w14:textId="77777777" w:rsidR="00B80382" w:rsidRPr="002A7D65" w:rsidRDefault="00B80382" w:rsidP="00B80382"/>
    <w:p w14:paraId="15A8B242" w14:textId="77777777" w:rsidR="00B80382" w:rsidRPr="002A7D65" w:rsidRDefault="00B80382" w:rsidP="00B80382">
      <w:r w:rsidRPr="002A7D65">
        <w:t>Galvenie esošās augstākās izglītības finansēšanas sistēmas izaicinājumi ir saistīti ar nepietiekošo finansējuma līmeni, elastīguma trūkumu, nepietiekamu snieguma veicināšanu un nepietiekamu sasaisti ar valsts attīstības prioritātēm:</w:t>
      </w:r>
    </w:p>
    <w:p w14:paraId="03CB5B4E" w14:textId="77777777" w:rsidR="00B80382" w:rsidRPr="002A7D65" w:rsidRDefault="00B80382" w:rsidP="00B80382"/>
    <w:p w14:paraId="2B7A8432" w14:textId="77777777" w:rsidR="00B80382" w:rsidRPr="002A7D65" w:rsidRDefault="00B80382" w:rsidP="00B80382">
      <w:pPr>
        <w:pStyle w:val="ListParagraph"/>
        <w:numPr>
          <w:ilvl w:val="0"/>
          <w:numId w:val="3"/>
        </w:numPr>
        <w:rPr>
          <w:rFonts w:asciiTheme="minorHAnsi" w:hAnsiTheme="minorHAnsi" w:cstheme="minorBidi"/>
          <w:sz w:val="24"/>
        </w:rPr>
      </w:pPr>
      <w:r w:rsidRPr="002A7D65">
        <w:rPr>
          <w:rFonts w:asciiTheme="minorHAnsi" w:hAnsiTheme="minorHAnsi" w:cstheme="minorBidi"/>
          <w:sz w:val="24"/>
        </w:rPr>
        <w:lastRenderedPageBreak/>
        <w:t>Augstākās izglītības jomas zema finansējuma apstākļos (finansējums uz vienu studējošo Latvijā ir viens no zemākajiem ES</w:t>
      </w:r>
      <w:r w:rsidRPr="002A7D65">
        <w:rPr>
          <w:rFonts w:asciiTheme="minorHAnsi" w:hAnsiTheme="minorHAnsi" w:cstheme="minorBidi"/>
          <w:sz w:val="24"/>
          <w:vertAlign w:val="superscript"/>
        </w:rPr>
        <w:footnoteReference w:id="9"/>
      </w:r>
      <w:r w:rsidRPr="002A7D65">
        <w:rPr>
          <w:rFonts w:asciiTheme="minorHAnsi" w:hAnsiTheme="minorHAnsi" w:cstheme="minorBidi"/>
          <w:sz w:val="24"/>
        </w:rPr>
        <w:t xml:space="preserve">) institūcijām ir ierobežotas iespējas piesaistīt starptautiski konkurētspējīgu un savā jomā izcilu akadēmisko personālu,  investīcijas studiju un pētniecības materiāli tehniskajā nodrošinājumā faktiski ir pakļautas ES Struktūrfondu mainīgajām iespējām. Pasaules Bankas pētījumā norādīta nepieciešamība finansiāli atbalstīt topošos pētniekus, tādējādi veicinot arī akadēmiskā personāla ataudzi. </w:t>
      </w:r>
    </w:p>
    <w:p w14:paraId="162E493C" w14:textId="5BA88CA6" w:rsidR="00B80382" w:rsidRDefault="00B80382" w:rsidP="00B80382">
      <w:pPr>
        <w:pStyle w:val="ListParagraph"/>
        <w:numPr>
          <w:ilvl w:val="0"/>
          <w:numId w:val="3"/>
        </w:numPr>
        <w:rPr>
          <w:rFonts w:asciiTheme="minorHAnsi" w:hAnsiTheme="minorHAnsi" w:cstheme="minorBidi"/>
          <w:sz w:val="24"/>
        </w:rPr>
      </w:pPr>
      <w:r w:rsidRPr="002A7D65">
        <w:rPr>
          <w:rFonts w:asciiTheme="minorHAnsi" w:hAnsiTheme="minorHAnsi" w:cstheme="minorBidi"/>
          <w:sz w:val="24"/>
        </w:rPr>
        <w:t xml:space="preserve">Augstākā izglītības finansēšanas sistēma turpina </w:t>
      </w:r>
      <w:r w:rsidR="00D36DF7" w:rsidRPr="002A7D65">
        <w:rPr>
          <w:rFonts w:asciiTheme="minorHAnsi" w:hAnsiTheme="minorHAnsi" w:cstheme="minorBidi"/>
          <w:sz w:val="24"/>
        </w:rPr>
        <w:t>veicināt</w:t>
      </w:r>
      <w:r w:rsidRPr="002A7D65">
        <w:rPr>
          <w:rFonts w:asciiTheme="minorHAnsi" w:hAnsiTheme="minorHAnsi" w:cstheme="minorBidi"/>
          <w:sz w:val="24"/>
        </w:rPr>
        <w:t xml:space="preserve"> nevienlīdzību valstī, primāri finansējot studējošos atbilstoši to sniegumam (kas korelē ar labāku ģimenes sociāli ekonomisko situāciju), nevis to nepieciešamībai pēc papildu finansējuma. Uz šo problēmu ir norādījuši arī Pasaules Bankas eksperti, veicot izpēti par Latvijas augstākās izglītības sistēmu.</w:t>
      </w:r>
      <w:r w:rsidR="0030311A">
        <w:rPr>
          <w:rStyle w:val="FootnoteReference"/>
          <w:rFonts w:asciiTheme="minorHAnsi" w:hAnsiTheme="minorHAnsi"/>
        </w:rPr>
        <w:footnoteReference w:id="10"/>
      </w:r>
    </w:p>
    <w:p w14:paraId="326E1B96" w14:textId="77777777" w:rsidR="0030311A" w:rsidRDefault="0030311A" w:rsidP="0030311A">
      <w:pPr>
        <w:rPr>
          <w:rFonts w:cstheme="minorBidi"/>
        </w:rPr>
      </w:pPr>
    </w:p>
    <w:p w14:paraId="570A1A31" w14:textId="5140E429" w:rsidR="0030311A" w:rsidRPr="0030311A" w:rsidRDefault="0030311A" w:rsidP="0030311A">
      <w:pPr>
        <w:jc w:val="center"/>
        <w:rPr>
          <w:rFonts w:cstheme="minorBidi"/>
        </w:rPr>
      </w:pPr>
    </w:p>
    <w:p w14:paraId="37DCA8B5" w14:textId="52017F81" w:rsidR="00B80382" w:rsidRPr="002A7D65" w:rsidRDefault="0078689E" w:rsidP="00B80382">
      <w:pPr>
        <w:pStyle w:val="ListParagraph"/>
        <w:numPr>
          <w:ilvl w:val="0"/>
          <w:numId w:val="3"/>
        </w:numPr>
        <w:rPr>
          <w:rFonts w:asciiTheme="minorHAnsi" w:hAnsiTheme="minorHAnsi" w:cstheme="minorBidi"/>
          <w:sz w:val="24"/>
        </w:rPr>
      </w:pPr>
      <w:r w:rsidRPr="002A7D65">
        <w:rPr>
          <w:rFonts w:asciiTheme="minorHAnsi" w:hAnsiTheme="minorHAnsi" w:cstheme="minorBidi"/>
          <w:sz w:val="24"/>
        </w:rPr>
        <w:t>I</w:t>
      </w:r>
      <w:r w:rsidR="00B80382" w:rsidRPr="002A7D65">
        <w:rPr>
          <w:rFonts w:asciiTheme="minorHAnsi" w:hAnsiTheme="minorHAnsi" w:cstheme="minorBidi"/>
          <w:sz w:val="24"/>
        </w:rPr>
        <w:t xml:space="preserve">r vērojamas nepilnības </w:t>
      </w:r>
      <w:r w:rsidR="00D56649">
        <w:rPr>
          <w:rFonts w:asciiTheme="minorHAnsi" w:hAnsiTheme="minorHAnsi" w:cstheme="minorBidi"/>
          <w:sz w:val="24"/>
        </w:rPr>
        <w:t xml:space="preserve">AII </w:t>
      </w:r>
      <w:r w:rsidR="00B80382" w:rsidRPr="002A7D65">
        <w:rPr>
          <w:rFonts w:asciiTheme="minorHAnsi" w:hAnsiTheme="minorHAnsi" w:cstheme="minorBidi"/>
          <w:sz w:val="24"/>
        </w:rPr>
        <w:t xml:space="preserve"> darba uzraudzībā pārvaldības informācijas sistēmas trūkumu dēļ. Nav pietiekami labi attīstīta snieguma rādītāju sistēma ar noteiktām prioritātēm un efektīvas datu vākšanas metodes, kas kavē uzraudzību. Joprojām pastāv problēmas ar valsts pārvaldei un augstākās izglītības iestādēm pieejamo informāciju un datiem.</w:t>
      </w:r>
    </w:p>
    <w:p w14:paraId="2740E81F" w14:textId="77777777" w:rsidR="00B80382" w:rsidRPr="002A7D65" w:rsidRDefault="00B80382" w:rsidP="00B80382">
      <w:pPr>
        <w:ind w:firstLine="0"/>
      </w:pPr>
    </w:p>
    <w:p w14:paraId="0015A1DE" w14:textId="5CB37AE3" w:rsidR="00B80382" w:rsidRPr="002A7D65" w:rsidRDefault="004537CA" w:rsidP="00B80382">
      <w:r w:rsidRPr="002A7D65">
        <w:lastRenderedPageBreak/>
        <w:t xml:space="preserve">Taču </w:t>
      </w:r>
      <w:r w:rsidR="00B80382" w:rsidRPr="002A7D65">
        <w:t>ir iespēja</w:t>
      </w:r>
      <w:r w:rsidRPr="002A7D65">
        <w:t>ms</w:t>
      </w:r>
      <w:r w:rsidR="00B80382" w:rsidRPr="002A7D65">
        <w:t>, izmantojot trīs pīlāru modeli, mērķtiecīgi un efektīvi ieguldīt resursus, tos piešķirot par konkrētu sniegumu</w:t>
      </w:r>
      <w:r w:rsidR="00124042" w:rsidRPr="002A7D65">
        <w:t>, tādā veidā veicinot orientēšanos uz rezultātu nevis procesu</w:t>
      </w:r>
      <w:r w:rsidR="00B80382" w:rsidRPr="002A7D65">
        <w:t xml:space="preserve">. Tāpat arī </w:t>
      </w:r>
      <w:r w:rsidRPr="002A7D65">
        <w:t xml:space="preserve">ar attiecīgiem Augstskolu likuma grozījumiem ieviestā </w:t>
      </w:r>
      <w:r w:rsidR="00B80382" w:rsidRPr="002A7D65">
        <w:t>iestāžu tipoloģija sniedz pamatu iestāžu misiju diversifikācijai. Iestāžu misiju diversifikācija ir būtisks solis augstākās izglītības ekosistēmas pilnveidē, jo mazinās nepamatotu savstarpēju dublēšanos starp augstākās izglītības iestādēm, ciešāku sasaisti ar valsts attīstības prioritātēm, kā arī efektīvāku un mērķtiecīgāku resursu izmantošanu.</w:t>
      </w:r>
    </w:p>
    <w:p w14:paraId="58EF6264" w14:textId="77777777" w:rsidR="00B80382" w:rsidRPr="002A7D65" w:rsidRDefault="00B80382" w:rsidP="00B80382">
      <w:pPr>
        <w:spacing w:after="160"/>
        <w:ind w:firstLine="0"/>
        <w:jc w:val="left"/>
        <w:rPr>
          <w:rFonts w:asciiTheme="majorHAnsi" w:eastAsiaTheme="majorEastAsia" w:hAnsiTheme="majorHAnsi" w:cstheme="majorBidi"/>
          <w:color w:val="2F5496" w:themeColor="accent1" w:themeShade="BF"/>
          <w:sz w:val="32"/>
          <w:szCs w:val="32"/>
        </w:rPr>
      </w:pPr>
      <w:r w:rsidRPr="002A7D65">
        <w:br w:type="page"/>
      </w:r>
    </w:p>
    <w:p w14:paraId="456CC7F8" w14:textId="7DC00078" w:rsidR="00B80382" w:rsidRPr="002A7D65" w:rsidRDefault="00B80382" w:rsidP="00EA1D28">
      <w:pPr>
        <w:pStyle w:val="Heading2"/>
      </w:pPr>
      <w:bookmarkStart w:id="12" w:name="_Toc108618660"/>
      <w:bookmarkStart w:id="13" w:name="_Toc167452319"/>
      <w:r w:rsidRPr="002A7D65">
        <w:lastRenderedPageBreak/>
        <w:t>Pasaules tendences augstākās izglītības finansēšanā</w:t>
      </w:r>
      <w:bookmarkEnd w:id="12"/>
      <w:r w:rsidR="00B52428" w:rsidRPr="002A7D65">
        <w:rPr>
          <w:rStyle w:val="FootnoteReference"/>
        </w:rPr>
        <w:footnoteReference w:id="11"/>
      </w:r>
      <w:bookmarkEnd w:id="13"/>
    </w:p>
    <w:p w14:paraId="79405B11" w14:textId="095887DF" w:rsidR="00B80382" w:rsidRPr="002A7D65" w:rsidRDefault="00B80382" w:rsidP="00B80382">
      <w:r w:rsidRPr="002A7D65">
        <w:t xml:space="preserve">Augstākās izglītības finansēšanas </w:t>
      </w:r>
      <w:r w:rsidR="007F61F5" w:rsidRPr="002A7D65">
        <w:t>sistēma</w:t>
      </w:r>
      <w:r w:rsidRPr="002A7D65">
        <w:t xml:space="preserve"> var sastāvēt no vairākām komponentēm. Latvijas gadījumā augstākās izglītības finansēšanas sistēma balstās uz trīs komponentēm jeb pīlāriem – bāzes, snieguma un attīstības</w:t>
      </w:r>
      <w:r w:rsidR="0091146D" w:rsidRPr="002A7D65">
        <w:rPr>
          <w:rStyle w:val="FootnoteReference"/>
        </w:rPr>
        <w:footnoteReference w:id="12"/>
      </w:r>
      <w:r w:rsidRPr="002A7D65">
        <w:t>. Bāzes pīlāra mērķis ir prognozējams un uzticams finansējums, kas nodrošina augstākās izglītības institūciju pamatfunkciju nepārtrauktību un ilgtermiņa plānošanu. Snieguma pīlāra mērķis ir radīt finansiālus stimulus izaugsmei un noteiktu mērķu sasniegšanai. Savukārt attīstības pīlāra mērķis ir stimulēt inovācijas, pētniecības vai studiju izcilību, iestāžu specializāciju un profilu attīstību. Katra pīlāra mērķus ir iespējams īstenot, izmantojot vairākus finansēšanas veidus.</w:t>
      </w:r>
    </w:p>
    <w:p w14:paraId="34F2A38C" w14:textId="77777777" w:rsidR="00B80382" w:rsidRPr="002A7D65" w:rsidRDefault="00B80382" w:rsidP="00B80382">
      <w:pPr>
        <w:rPr>
          <w:rFonts w:cstheme="minorHAnsi"/>
        </w:rPr>
      </w:pPr>
      <w:r w:rsidRPr="002A7D65">
        <w:rPr>
          <w:rFonts w:cstheme="minorBidi"/>
        </w:rPr>
        <w:t>Pasaules praksē augstākās izglītības finansēšanas rīkus var iedalīt četrās plašās grupās</w:t>
      </w:r>
      <w:r w:rsidRPr="002A7D65">
        <w:rPr>
          <w:rStyle w:val="FootnoteReference"/>
          <w:rFonts w:cstheme="minorBidi"/>
        </w:rPr>
        <w:footnoteReference w:id="13"/>
      </w:r>
      <w:r w:rsidRPr="002A7D65">
        <w:rPr>
          <w:rFonts w:cstheme="minorBidi"/>
        </w:rPr>
        <w:t>:</w:t>
      </w:r>
    </w:p>
    <w:p w14:paraId="5B78FBD0" w14:textId="2BBDA0AA" w:rsidR="00B80382" w:rsidRPr="002A7D65" w:rsidRDefault="00A14FD0" w:rsidP="00B80382">
      <w:pPr>
        <w:pStyle w:val="ListParagraph"/>
        <w:numPr>
          <w:ilvl w:val="0"/>
          <w:numId w:val="3"/>
        </w:numPr>
        <w:rPr>
          <w:rFonts w:asciiTheme="minorHAnsi" w:hAnsiTheme="minorHAnsi" w:cstheme="minorBidi"/>
          <w:sz w:val="24"/>
        </w:rPr>
      </w:pPr>
      <w:r w:rsidRPr="002A7D65">
        <w:rPr>
          <w:rFonts w:asciiTheme="minorHAnsi" w:hAnsiTheme="minorHAnsi" w:cstheme="minorBidi"/>
          <w:sz w:val="24"/>
        </w:rPr>
        <w:t>b</w:t>
      </w:r>
      <w:r w:rsidR="00B80382" w:rsidRPr="002A7D65">
        <w:rPr>
          <w:rFonts w:asciiTheme="minorHAnsi" w:hAnsiTheme="minorHAnsi" w:cstheme="minorBidi"/>
          <w:sz w:val="24"/>
        </w:rPr>
        <w:t>loka dotācija</w:t>
      </w:r>
    </w:p>
    <w:p w14:paraId="4B613F1E" w14:textId="5BBE5049" w:rsidR="00B80382" w:rsidRPr="002A7D65" w:rsidRDefault="00A14FD0" w:rsidP="00B80382">
      <w:pPr>
        <w:pStyle w:val="ListParagraph"/>
        <w:numPr>
          <w:ilvl w:val="0"/>
          <w:numId w:val="3"/>
        </w:numPr>
        <w:rPr>
          <w:rFonts w:asciiTheme="minorHAnsi" w:hAnsiTheme="minorHAnsi" w:cstheme="minorHAnsi"/>
          <w:sz w:val="24"/>
        </w:rPr>
      </w:pPr>
      <w:r w:rsidRPr="002A7D65">
        <w:rPr>
          <w:rFonts w:asciiTheme="minorHAnsi" w:hAnsiTheme="minorHAnsi" w:cstheme="minorHAnsi"/>
          <w:sz w:val="24"/>
        </w:rPr>
        <w:t>p</w:t>
      </w:r>
      <w:r w:rsidR="00B80382" w:rsidRPr="002A7D65">
        <w:rPr>
          <w:rFonts w:asciiTheme="minorHAnsi" w:hAnsiTheme="minorHAnsi" w:cstheme="minorHAnsi"/>
          <w:sz w:val="24"/>
        </w:rPr>
        <w:t>rojektu finansējums</w:t>
      </w:r>
    </w:p>
    <w:p w14:paraId="6CBF3298" w14:textId="33A533B1" w:rsidR="00B80382" w:rsidRPr="002A7D65" w:rsidRDefault="00A14FD0" w:rsidP="00B80382">
      <w:pPr>
        <w:pStyle w:val="ListParagraph"/>
        <w:numPr>
          <w:ilvl w:val="0"/>
          <w:numId w:val="3"/>
        </w:numPr>
        <w:rPr>
          <w:rFonts w:asciiTheme="minorHAnsi" w:hAnsiTheme="minorHAnsi" w:cstheme="minorHAnsi"/>
          <w:sz w:val="24"/>
        </w:rPr>
      </w:pPr>
      <w:r w:rsidRPr="002A7D65">
        <w:rPr>
          <w:rFonts w:asciiTheme="minorHAnsi" w:hAnsiTheme="minorHAnsi" w:cstheme="minorHAnsi"/>
          <w:sz w:val="24"/>
        </w:rPr>
        <w:t>i</w:t>
      </w:r>
      <w:r w:rsidR="00B80382" w:rsidRPr="002A7D65">
        <w:rPr>
          <w:rFonts w:asciiTheme="minorHAnsi" w:hAnsiTheme="minorHAnsi" w:cstheme="minorHAnsi"/>
          <w:sz w:val="24"/>
        </w:rPr>
        <w:t>zcilības finansējums</w:t>
      </w:r>
    </w:p>
    <w:p w14:paraId="7E04E31B" w14:textId="5DEB650E" w:rsidR="00B80382" w:rsidRPr="002A7D65" w:rsidRDefault="00A14FD0" w:rsidP="00B80382">
      <w:pPr>
        <w:pStyle w:val="ListParagraph"/>
        <w:numPr>
          <w:ilvl w:val="0"/>
          <w:numId w:val="3"/>
        </w:numPr>
        <w:rPr>
          <w:rFonts w:asciiTheme="minorHAnsi" w:hAnsiTheme="minorHAnsi" w:cstheme="minorHAnsi"/>
          <w:sz w:val="24"/>
        </w:rPr>
      </w:pPr>
      <w:r w:rsidRPr="002A7D65">
        <w:rPr>
          <w:rFonts w:asciiTheme="minorHAnsi" w:hAnsiTheme="minorHAnsi" w:cstheme="minorHAnsi"/>
          <w:sz w:val="24"/>
        </w:rPr>
        <w:t>m</w:t>
      </w:r>
      <w:r w:rsidR="00B80382" w:rsidRPr="002A7D65">
        <w:rPr>
          <w:rFonts w:asciiTheme="minorHAnsi" w:hAnsiTheme="minorHAnsi" w:cstheme="minorHAnsi"/>
          <w:sz w:val="24"/>
        </w:rPr>
        <w:t>ērķfinansējums</w:t>
      </w:r>
    </w:p>
    <w:p w14:paraId="1C89869C" w14:textId="77777777" w:rsidR="00B80382" w:rsidRPr="002A7D65" w:rsidRDefault="00B80382" w:rsidP="00B80382">
      <w:pPr>
        <w:rPr>
          <w:rFonts w:cstheme="minorHAnsi"/>
        </w:rPr>
      </w:pPr>
      <w:r w:rsidRPr="002A7D65">
        <w:rPr>
          <w:rFonts w:cstheme="minorHAnsi"/>
        </w:rPr>
        <w:t>Bloka dotācijas ietvaros tiek vēl sīkāk izdalīti specifiskie principi, pēc kuriem tiek sadalīts šis finansējums:</w:t>
      </w:r>
    </w:p>
    <w:p w14:paraId="62FDD5A1" w14:textId="77777777" w:rsidR="00B80382" w:rsidRPr="002A7D65" w:rsidRDefault="00B80382" w:rsidP="00B80382">
      <w:pPr>
        <w:pStyle w:val="ListParagraph"/>
        <w:numPr>
          <w:ilvl w:val="0"/>
          <w:numId w:val="3"/>
        </w:numPr>
        <w:rPr>
          <w:rFonts w:asciiTheme="minorHAnsi" w:hAnsiTheme="minorHAnsi" w:cstheme="minorBidi"/>
          <w:sz w:val="24"/>
        </w:rPr>
      </w:pPr>
      <w:r w:rsidRPr="002A7D65">
        <w:rPr>
          <w:rFonts w:asciiTheme="minorHAnsi" w:hAnsiTheme="minorHAnsi" w:cstheme="minorBidi"/>
          <w:sz w:val="24"/>
        </w:rPr>
        <w:t>formulā balstītais studiju finansējums, t.sk. normētās izmaksās balstīts</w:t>
      </w:r>
    </w:p>
    <w:p w14:paraId="3EF95BDA" w14:textId="77777777" w:rsidR="00B80382" w:rsidRPr="002A7D65" w:rsidRDefault="00B80382" w:rsidP="00B80382">
      <w:pPr>
        <w:pStyle w:val="ListParagraph"/>
        <w:numPr>
          <w:ilvl w:val="0"/>
          <w:numId w:val="3"/>
        </w:numPr>
        <w:rPr>
          <w:rFonts w:asciiTheme="minorHAnsi" w:hAnsiTheme="minorHAnsi" w:cstheme="minorBidi"/>
          <w:sz w:val="24"/>
        </w:rPr>
      </w:pPr>
      <w:r w:rsidRPr="002A7D65">
        <w:rPr>
          <w:rFonts w:asciiTheme="minorHAnsi" w:hAnsiTheme="minorHAnsi" w:cstheme="minorBidi"/>
          <w:sz w:val="24"/>
        </w:rPr>
        <w:t>uz vēsturiskajiem principiem balstītais finansējums</w:t>
      </w:r>
    </w:p>
    <w:p w14:paraId="7F459647" w14:textId="77777777" w:rsidR="00B80382" w:rsidRPr="002A7D65" w:rsidRDefault="00B80382" w:rsidP="00B80382">
      <w:pPr>
        <w:pStyle w:val="ListParagraph"/>
        <w:numPr>
          <w:ilvl w:val="0"/>
          <w:numId w:val="3"/>
        </w:numPr>
        <w:rPr>
          <w:rFonts w:asciiTheme="minorHAnsi" w:hAnsiTheme="minorHAnsi" w:cstheme="minorBidi"/>
          <w:sz w:val="24"/>
        </w:rPr>
      </w:pPr>
      <w:r w:rsidRPr="002A7D65">
        <w:rPr>
          <w:rFonts w:asciiTheme="minorHAnsi" w:hAnsiTheme="minorHAnsi" w:cstheme="minorBidi"/>
          <w:sz w:val="24"/>
        </w:rPr>
        <w:t>formulā balstītais snieguma finansējums</w:t>
      </w:r>
    </w:p>
    <w:p w14:paraId="2BA32B10" w14:textId="77777777" w:rsidR="00B80382" w:rsidRPr="002A7D65" w:rsidRDefault="00B80382" w:rsidP="00B80382">
      <w:pPr>
        <w:pStyle w:val="ListParagraph"/>
        <w:numPr>
          <w:ilvl w:val="0"/>
          <w:numId w:val="3"/>
        </w:numPr>
        <w:rPr>
          <w:rFonts w:asciiTheme="minorHAnsi" w:hAnsiTheme="minorHAnsi" w:cstheme="minorBidi"/>
          <w:sz w:val="24"/>
        </w:rPr>
      </w:pPr>
      <w:r w:rsidRPr="002A7D65">
        <w:rPr>
          <w:rFonts w:asciiTheme="minorHAnsi" w:hAnsiTheme="minorHAnsi" w:cstheme="minorBidi"/>
          <w:sz w:val="24"/>
        </w:rPr>
        <w:t>pārrunu ceļā noteiktais finansējums</w:t>
      </w:r>
    </w:p>
    <w:p w14:paraId="2DB7D5A9" w14:textId="77777777" w:rsidR="00B80382" w:rsidRPr="002A7D65" w:rsidRDefault="00B80382" w:rsidP="00B80382">
      <w:pPr>
        <w:pStyle w:val="ListParagraph"/>
        <w:numPr>
          <w:ilvl w:val="0"/>
          <w:numId w:val="3"/>
        </w:numPr>
        <w:rPr>
          <w:rFonts w:asciiTheme="minorHAnsi" w:hAnsiTheme="minorHAnsi" w:cstheme="minorBidi"/>
          <w:sz w:val="24"/>
        </w:rPr>
      </w:pPr>
      <w:r w:rsidRPr="002A7D65">
        <w:rPr>
          <w:rFonts w:asciiTheme="minorHAnsi" w:hAnsiTheme="minorHAnsi" w:cstheme="minorBidi"/>
          <w:sz w:val="24"/>
        </w:rPr>
        <w:t>snieguma līgums</w:t>
      </w:r>
    </w:p>
    <w:p w14:paraId="008C8DDD" w14:textId="77777777" w:rsidR="00B80382" w:rsidRPr="002A7D65" w:rsidRDefault="00B80382" w:rsidP="00B80382"/>
    <w:p w14:paraId="3ACF9D41" w14:textId="5639968F" w:rsidR="00C37538" w:rsidRPr="00C94853" w:rsidRDefault="008870F3" w:rsidP="00C37538">
      <w:pPr>
        <w:pStyle w:val="ListParagraph"/>
        <w:jc w:val="right"/>
        <w:rPr>
          <w:rFonts w:asciiTheme="minorHAnsi" w:hAnsiTheme="minorHAnsi"/>
          <w:sz w:val="24"/>
        </w:rPr>
      </w:pPr>
      <w:r w:rsidRPr="00C94853">
        <w:rPr>
          <w:rFonts w:asciiTheme="minorHAnsi" w:hAnsiTheme="minorHAnsi"/>
          <w:sz w:val="24"/>
        </w:rPr>
        <w:t>5</w:t>
      </w:r>
      <w:r w:rsidR="00B80382" w:rsidRPr="00C94853">
        <w:rPr>
          <w:rFonts w:asciiTheme="minorHAnsi" w:hAnsiTheme="minorHAnsi"/>
          <w:sz w:val="24"/>
        </w:rPr>
        <w:t>.attēls</w:t>
      </w:r>
      <w:r w:rsidR="00C37538" w:rsidRPr="00C94853">
        <w:rPr>
          <w:rFonts w:asciiTheme="minorHAnsi" w:hAnsiTheme="minorHAnsi"/>
          <w:sz w:val="24"/>
        </w:rPr>
        <w:t>: Augstākās izglītības finansēšanas sistēmas rīki</w:t>
      </w:r>
    </w:p>
    <w:p w14:paraId="23015D43" w14:textId="77777777" w:rsidR="00B80382" w:rsidRPr="002A7D65" w:rsidRDefault="00B80382" w:rsidP="00B80382">
      <w:r w:rsidRPr="002A7D65">
        <w:rPr>
          <w:noProof/>
        </w:rPr>
        <mc:AlternateContent>
          <mc:Choice Requires="wps">
            <w:drawing>
              <wp:anchor distT="0" distB="0" distL="114300" distR="114300" simplePos="0" relativeHeight="251666432" behindDoc="0" locked="0" layoutInCell="1" allowOverlap="1" wp14:anchorId="3D146B6F" wp14:editId="536A602F">
                <wp:simplePos x="0" y="0"/>
                <wp:positionH relativeFrom="page">
                  <wp:align>center</wp:align>
                </wp:positionH>
                <wp:positionV relativeFrom="paragraph">
                  <wp:posOffset>1995915</wp:posOffset>
                </wp:positionV>
                <wp:extent cx="3026410" cy="203200"/>
                <wp:effectExtent l="0" t="0" r="21590" b="25400"/>
                <wp:wrapNone/>
                <wp:docPr id="3" name="Rectangle 3"/>
                <wp:cNvGraphicFramePr/>
                <a:graphic xmlns:a="http://schemas.openxmlformats.org/drawingml/2006/main">
                  <a:graphicData uri="http://schemas.microsoft.com/office/word/2010/wordprocessingShape">
                    <wps:wsp>
                      <wps:cNvSpPr/>
                      <wps:spPr>
                        <a:xfrm>
                          <a:off x="0" y="0"/>
                          <a:ext cx="3026410" cy="203200"/>
                        </a:xfrm>
                        <a:prstGeom prst="rect">
                          <a:avLst/>
                        </a:prstGeom>
                        <a:solidFill>
                          <a:srgbClr val="C8D5E5"/>
                        </a:solidFill>
                        <a:ln w="1905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81C53D" w14:textId="77777777" w:rsidR="00B80382" w:rsidRPr="002A7D65" w:rsidRDefault="00B80382" w:rsidP="00B80382">
                            <w:pPr>
                              <w:ind w:firstLine="0"/>
                              <w:rPr>
                                <w:color w:val="171717" w:themeColor="background2" w:themeShade="1A"/>
                                <w:sz w:val="14"/>
                                <w:szCs w:val="14"/>
                              </w:rPr>
                            </w:pPr>
                            <w:r w:rsidRPr="002A7D65">
                              <w:rPr>
                                <w:color w:val="171717" w:themeColor="background2" w:themeShade="1A"/>
                                <w:sz w:val="14"/>
                                <w:szCs w:val="14"/>
                              </w:rPr>
                              <w:t>Cits tiešais finansējums (tostarp arī mērķētais)</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D146B6F" id="Rectangle 3" o:spid="_x0000_s1026" style="position:absolute;left:0;text-align:left;margin-left:0;margin-top:157.15pt;width:238.3pt;height:16pt;z-index:251666432;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" fillcolor="#c8d5e5" strokecolor="#a5a5a5 [2092]" strokeweight="1.5pt">
                <v:textbox>
                  <w:txbxContent>
                    <w:p w14:paraId="1981C53D" w14:textId="77777777" w:rsidR="00B80382" w:rsidRPr="002A7D65" w:rsidRDefault="00B80382" w:rsidP="00B80382">
                      <w:pPr>
                        <w:ind w:firstLine="0"/>
                        <w:rPr>
                          <w:color w:val="171717" w:themeColor="background2" w:themeShade="1A"/>
                          <w:sz w:val="14"/>
                          <w:szCs w:val="14"/>
                        </w:rPr>
                      </w:pPr>
                      <w:r w:rsidRPr="002A7D65">
                        <w:rPr>
                          <w:color w:val="171717" w:themeColor="background2" w:themeShade="1A"/>
                          <w:sz w:val="14"/>
                          <w:szCs w:val="14"/>
                        </w:rPr>
                        <w:t>Cits tiešais finansējums (tostarp arī mērķētais)</w:t>
                      </w:r>
                    </w:p>
                  </w:txbxContent>
                </v:textbox>
                <w10:wrap anchorx="page"/>
              </v:rect>
            </w:pict>
          </mc:Fallback>
        </mc:AlternateContent>
      </w:r>
      <w:r w:rsidRPr="002A7D65">
        <w:rPr>
          <w:noProof/>
        </w:rPr>
        <mc:AlternateContent>
          <mc:Choice Requires="wps">
            <w:drawing>
              <wp:anchor distT="0" distB="0" distL="114300" distR="114300" simplePos="0" relativeHeight="251665408" behindDoc="0" locked="0" layoutInCell="1" allowOverlap="1" wp14:anchorId="32F8C344" wp14:editId="0C67D987">
                <wp:simplePos x="0" y="0"/>
                <wp:positionH relativeFrom="page">
                  <wp:align>center</wp:align>
                </wp:positionH>
                <wp:positionV relativeFrom="paragraph">
                  <wp:posOffset>1728754</wp:posOffset>
                </wp:positionV>
                <wp:extent cx="3026410" cy="203303"/>
                <wp:effectExtent l="0" t="0" r="21590" b="25400"/>
                <wp:wrapNone/>
                <wp:docPr id="2" name="Rectangle 2"/>
                <wp:cNvGraphicFramePr/>
                <a:graphic xmlns:a="http://schemas.openxmlformats.org/drawingml/2006/main">
                  <a:graphicData uri="http://schemas.microsoft.com/office/word/2010/wordprocessingShape">
                    <wps:wsp>
                      <wps:cNvSpPr/>
                      <wps:spPr>
                        <a:xfrm>
                          <a:off x="0" y="0"/>
                          <a:ext cx="3026410" cy="203303"/>
                        </a:xfrm>
                        <a:prstGeom prst="rect">
                          <a:avLst/>
                        </a:prstGeom>
                        <a:solidFill>
                          <a:srgbClr val="C8D5E5"/>
                        </a:solidFill>
                        <a:ln w="1905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B18B9A" w14:textId="77777777" w:rsidR="00B80382" w:rsidRPr="002A7D65" w:rsidRDefault="00B80382" w:rsidP="00B80382">
                            <w:pPr>
                              <w:ind w:firstLine="0"/>
                              <w:rPr>
                                <w:color w:val="171717" w:themeColor="background2" w:themeShade="1A"/>
                                <w:sz w:val="14"/>
                                <w:szCs w:val="14"/>
                              </w:rPr>
                            </w:pPr>
                            <w:r w:rsidRPr="002A7D65">
                              <w:rPr>
                                <w:color w:val="171717" w:themeColor="background2" w:themeShade="1A"/>
                                <w:sz w:val="14"/>
                                <w:szCs w:val="14"/>
                              </w:rPr>
                              <w:t>Izcilības finansējums</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F8C344" id="Rectangle 2" o:spid="_x0000_s1027" style="position:absolute;left:0;text-align:left;margin-left:0;margin-top:136.1pt;width:238.3pt;height:16pt;z-index:251665408;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" fillcolor="#c8d5e5" strokecolor="#a5a5a5 [2092]" strokeweight="1.5pt">
                <v:textbox>
                  <w:txbxContent>
                    <w:p w14:paraId="02B18B9A" w14:textId="77777777" w:rsidR="00B80382" w:rsidRPr="002A7D65" w:rsidRDefault="00B80382" w:rsidP="00B80382">
                      <w:pPr>
                        <w:ind w:firstLine="0"/>
                        <w:rPr>
                          <w:color w:val="171717" w:themeColor="background2" w:themeShade="1A"/>
                          <w:sz w:val="14"/>
                          <w:szCs w:val="14"/>
                        </w:rPr>
                      </w:pPr>
                      <w:r w:rsidRPr="002A7D65">
                        <w:rPr>
                          <w:color w:val="171717" w:themeColor="background2" w:themeShade="1A"/>
                          <w:sz w:val="14"/>
                          <w:szCs w:val="14"/>
                        </w:rPr>
                        <w:t>Izcilības finansējums</w:t>
                      </w:r>
                    </w:p>
                  </w:txbxContent>
                </v:textbox>
                <w10:wrap anchorx="page"/>
              </v:rect>
            </w:pict>
          </mc:Fallback>
        </mc:AlternateContent>
      </w:r>
      <w:r w:rsidRPr="002A7D65">
        <w:rPr>
          <w:noProof/>
        </w:rPr>
        <mc:AlternateContent>
          <mc:Choice Requires="wpg">
            <w:drawing>
              <wp:anchor distT="0" distB="0" distL="114300" distR="114300" simplePos="0" relativeHeight="251664384" behindDoc="0" locked="0" layoutInCell="1" allowOverlap="1" wp14:anchorId="0710D102" wp14:editId="2B2EFFB6">
                <wp:simplePos x="0" y="0"/>
                <wp:positionH relativeFrom="page">
                  <wp:align>center</wp:align>
                </wp:positionH>
                <wp:positionV relativeFrom="paragraph">
                  <wp:posOffset>186471</wp:posOffset>
                </wp:positionV>
                <wp:extent cx="3026410" cy="1878330"/>
                <wp:effectExtent l="0" t="0" r="21590" b="0"/>
                <wp:wrapTopAndBottom/>
                <wp:docPr id="16" name="Group 31"/>
                <wp:cNvGraphicFramePr/>
                <a:graphic xmlns:a="http://schemas.openxmlformats.org/drawingml/2006/main">
                  <a:graphicData uri="http://schemas.microsoft.com/office/word/2010/wordprocessingGroup">
                    <wpg:wgp>
                      <wpg:cNvGrpSpPr/>
                      <wpg:grpSpPr>
                        <a:xfrm>
                          <a:off x="0" y="0"/>
                          <a:ext cx="3026410" cy="1878330"/>
                          <a:chOff x="0" y="0"/>
                          <a:chExt cx="7004118" cy="5093103"/>
                        </a:xfrm>
                      </wpg:grpSpPr>
                      <wps:wsp>
                        <wps:cNvPr id="17" name="Rectangle 17"/>
                        <wps:cNvSpPr/>
                        <wps:spPr>
                          <a:xfrm>
                            <a:off x="1" y="0"/>
                            <a:ext cx="7004117" cy="3336666"/>
                          </a:xfrm>
                          <a:prstGeom prst="rect">
                            <a:avLst/>
                          </a:prstGeom>
                          <a:solidFill>
                            <a:srgbClr val="C8D5E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 name="TextBox 5"/>
                        <wps:cNvSpPr txBox="1"/>
                        <wps:spPr>
                          <a:xfrm>
                            <a:off x="1889162" y="0"/>
                            <a:ext cx="3136874" cy="671504"/>
                          </a:xfrm>
                          <a:prstGeom prst="rect">
                            <a:avLst/>
                          </a:prstGeom>
                          <a:noFill/>
                        </wps:spPr>
                        <wps:txbx>
                          <w:txbxContent>
                            <w:p w14:paraId="2E85B992" w14:textId="77777777" w:rsidR="00B80382" w:rsidRPr="002A7D65" w:rsidRDefault="00B80382" w:rsidP="00B80382">
                              <w:pPr>
                                <w:pStyle w:val="NormalWeb"/>
                                <w:spacing w:before="0" w:beforeAutospacing="0" w:after="0" w:afterAutospacing="0"/>
                                <w:jc w:val="center"/>
                                <w:rPr>
                                  <w:color w:val="171717" w:themeColor="background2" w:themeShade="1A"/>
                                  <w:sz w:val="14"/>
                                  <w:szCs w:val="14"/>
                                  <w:lang w:val="lv-LV"/>
                                </w:rPr>
                              </w:pPr>
                              <w:r w:rsidRPr="002A7D65">
                                <w:rPr>
                                  <w:rFonts w:asciiTheme="minorHAnsi" w:hAnsi="Calibri" w:cstheme="minorBidi"/>
                                  <w:color w:val="171717" w:themeColor="background2" w:themeShade="1A"/>
                                  <w:kern w:val="24"/>
                                  <w:sz w:val="20"/>
                                  <w:szCs w:val="20"/>
                                  <w:lang w:val="lv-LV"/>
                                </w:rPr>
                                <w:t>Bloka dotācija</w:t>
                              </w:r>
                            </w:p>
                          </w:txbxContent>
                        </wps:txbx>
                        <wps:bodyPr wrap="square" rtlCol="0">
                          <a:noAutofit/>
                        </wps:bodyPr>
                      </wps:wsp>
                      <wps:wsp>
                        <wps:cNvPr id="19" name="Rectangle 19"/>
                        <wps:cNvSpPr/>
                        <wps:spPr>
                          <a:xfrm>
                            <a:off x="207393" y="576437"/>
                            <a:ext cx="3205113" cy="2496702"/>
                          </a:xfrm>
                          <a:prstGeom prst="rect">
                            <a:avLst/>
                          </a:prstGeom>
                          <a:solidFill>
                            <a:schemeClr val="bg1"/>
                          </a:solidFill>
                          <a:ln w="1905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 name="Rectangle 20"/>
                        <wps:cNvSpPr/>
                        <wps:spPr>
                          <a:xfrm>
                            <a:off x="3546053" y="576437"/>
                            <a:ext cx="3205113" cy="2496702"/>
                          </a:xfrm>
                          <a:prstGeom prst="rect">
                            <a:avLst/>
                          </a:prstGeom>
                          <a:solidFill>
                            <a:schemeClr val="bg1"/>
                          </a:solidFill>
                          <a:ln w="1905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 name="Rectangle 21"/>
                        <wps:cNvSpPr/>
                        <wps:spPr>
                          <a:xfrm>
                            <a:off x="207393" y="1224654"/>
                            <a:ext cx="1523135" cy="1670224"/>
                          </a:xfrm>
                          <a:prstGeom prst="rect">
                            <a:avLst/>
                          </a:prstGeom>
                          <a:solidFill>
                            <a:srgbClr val="AEC2DB"/>
                          </a:solidFill>
                          <a:ln w="1905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322576" w14:textId="77777777" w:rsidR="00B80382" w:rsidRPr="002A7D65" w:rsidRDefault="00B80382" w:rsidP="00B80382">
                              <w:pPr>
                                <w:ind w:firstLine="0"/>
                                <w:rPr>
                                  <w:color w:val="171717" w:themeColor="background2" w:themeShade="1A"/>
                                  <w:sz w:val="18"/>
                                  <w:szCs w:val="18"/>
                                </w:rPr>
                              </w:pPr>
                              <w:r w:rsidRPr="002A7D65">
                                <w:rPr>
                                  <w:color w:val="171717" w:themeColor="background2" w:themeShade="1A"/>
                                  <w:sz w:val="18"/>
                                  <w:szCs w:val="18"/>
                                </w:rPr>
                                <w:t>Snieguma līgums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 name="TextBox 9"/>
                        <wps:cNvSpPr txBox="1"/>
                        <wps:spPr>
                          <a:xfrm>
                            <a:off x="338011" y="654115"/>
                            <a:ext cx="3089152" cy="502292"/>
                          </a:xfrm>
                          <a:prstGeom prst="rect">
                            <a:avLst/>
                          </a:prstGeom>
                          <a:noFill/>
                        </wps:spPr>
                        <wps:txbx>
                          <w:txbxContent>
                            <w:p w14:paraId="150AC4CE" w14:textId="77777777" w:rsidR="00B80382" w:rsidRPr="002A7D65" w:rsidRDefault="00B80382" w:rsidP="00B80382">
                              <w:pPr>
                                <w:pStyle w:val="NormalWeb"/>
                                <w:spacing w:before="0" w:beforeAutospacing="0" w:after="0" w:afterAutospacing="0"/>
                                <w:rPr>
                                  <w:color w:val="171717" w:themeColor="background2" w:themeShade="1A"/>
                                  <w:sz w:val="8"/>
                                  <w:szCs w:val="8"/>
                                  <w:lang w:val="lv-LV"/>
                                </w:rPr>
                              </w:pPr>
                              <w:r w:rsidRPr="002A7D65">
                                <w:rPr>
                                  <w:rFonts w:asciiTheme="minorHAnsi" w:hAnsi="Calibri" w:cstheme="minorBidi"/>
                                  <w:color w:val="171717" w:themeColor="background2" w:themeShade="1A"/>
                                  <w:kern w:val="24"/>
                                  <w:sz w:val="14"/>
                                  <w:szCs w:val="14"/>
                                  <w:lang w:val="lv-LV"/>
                                </w:rPr>
                                <w:t>Sniegumā balstīts finansējums</w:t>
                              </w:r>
                            </w:p>
                          </w:txbxContent>
                        </wps:txbx>
                        <wps:bodyPr wrap="square" rtlCol="0">
                          <a:noAutofit/>
                        </wps:bodyPr>
                      </wps:wsp>
                      <wps:wsp>
                        <wps:cNvPr id="24" name="TextBox 11"/>
                        <wps:cNvSpPr txBox="1"/>
                        <wps:spPr>
                          <a:xfrm>
                            <a:off x="4828889" y="605551"/>
                            <a:ext cx="953468" cy="619102"/>
                          </a:xfrm>
                          <a:prstGeom prst="rect">
                            <a:avLst/>
                          </a:prstGeom>
                          <a:noFill/>
                        </wps:spPr>
                        <wps:txbx>
                          <w:txbxContent>
                            <w:p w14:paraId="2616F8DB" w14:textId="77777777" w:rsidR="00B80382" w:rsidRPr="002A7D65" w:rsidRDefault="00B80382" w:rsidP="00B80382">
                              <w:pPr>
                                <w:pStyle w:val="NormalWeb"/>
                                <w:spacing w:before="0" w:beforeAutospacing="0" w:after="0" w:afterAutospacing="0"/>
                                <w:rPr>
                                  <w:color w:val="171717" w:themeColor="background2" w:themeShade="1A"/>
                                  <w:sz w:val="14"/>
                                  <w:szCs w:val="14"/>
                                  <w:lang w:val="lv-LV"/>
                                </w:rPr>
                              </w:pPr>
                              <w:r w:rsidRPr="002A7D65">
                                <w:rPr>
                                  <w:rFonts w:asciiTheme="minorHAnsi" w:hAnsi="Calibri" w:cstheme="minorBidi"/>
                                  <w:color w:val="171717" w:themeColor="background2" w:themeShade="1A"/>
                                  <w:kern w:val="24"/>
                                  <w:sz w:val="20"/>
                                  <w:szCs w:val="20"/>
                                  <w:lang w:val="lv-LV"/>
                                </w:rPr>
                                <w:t>Cits</w:t>
                              </w:r>
                            </w:p>
                          </w:txbxContent>
                        </wps:txbx>
                        <wps:bodyPr wrap="square" rtlCol="0">
                          <a:noAutofit/>
                        </wps:bodyPr>
                      </wps:wsp>
                      <wps:wsp>
                        <wps:cNvPr id="25" name="Rectangle 25"/>
                        <wps:cNvSpPr/>
                        <wps:spPr>
                          <a:xfrm>
                            <a:off x="5322141" y="1205164"/>
                            <a:ext cx="1429025" cy="746318"/>
                          </a:xfrm>
                          <a:prstGeom prst="rect">
                            <a:avLst/>
                          </a:prstGeom>
                          <a:solidFill>
                            <a:srgbClr val="AEC2DB"/>
                          </a:solidFill>
                          <a:ln w="1905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6" name="Rectangle 26"/>
                        <wps:cNvSpPr/>
                        <wps:spPr>
                          <a:xfrm>
                            <a:off x="5322140" y="2068462"/>
                            <a:ext cx="1429025" cy="898334"/>
                          </a:xfrm>
                          <a:prstGeom prst="rect">
                            <a:avLst/>
                          </a:prstGeom>
                          <a:solidFill>
                            <a:srgbClr val="F0F1F5"/>
                          </a:solidFill>
                          <a:ln w="1905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DD013F" w14:textId="77777777" w:rsidR="00B80382" w:rsidRPr="002A7D65" w:rsidRDefault="00B80382" w:rsidP="00B80382">
                              <w:pPr>
                                <w:ind w:firstLine="0"/>
                                <w:rPr>
                                  <w:color w:val="171717" w:themeColor="background2" w:themeShade="1A"/>
                                  <w:sz w:val="10"/>
                                  <w:szCs w:val="10"/>
                                </w:rPr>
                              </w:pPr>
                              <w:r w:rsidRPr="002A7D65">
                                <w:rPr>
                                  <w:color w:val="171717" w:themeColor="background2" w:themeShade="1A"/>
                                  <w:sz w:val="10"/>
                                  <w:szCs w:val="10"/>
                                </w:rPr>
                                <w:t>Vēsturiskā</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 name="TextBox 15"/>
                        <wps:cNvSpPr txBox="1"/>
                        <wps:spPr>
                          <a:xfrm>
                            <a:off x="5393435" y="1313321"/>
                            <a:ext cx="1151512" cy="545735"/>
                          </a:xfrm>
                          <a:prstGeom prst="rect">
                            <a:avLst/>
                          </a:prstGeom>
                          <a:noFill/>
                        </wps:spPr>
                        <wps:txbx>
                          <w:txbxContent>
                            <w:p w14:paraId="63CE2442" w14:textId="77777777" w:rsidR="00B80382" w:rsidRPr="002A7D65" w:rsidRDefault="00B80382" w:rsidP="00B80382">
                              <w:pPr>
                                <w:pStyle w:val="NormalWeb"/>
                                <w:spacing w:before="0" w:beforeAutospacing="0" w:after="0" w:afterAutospacing="0"/>
                                <w:rPr>
                                  <w:color w:val="171717" w:themeColor="background2" w:themeShade="1A"/>
                                  <w:sz w:val="14"/>
                                  <w:szCs w:val="14"/>
                                  <w:lang w:val="lv-LV"/>
                                </w:rPr>
                              </w:pPr>
                              <w:r w:rsidRPr="002A7D65">
                                <w:rPr>
                                  <w:color w:val="171717" w:themeColor="background2" w:themeShade="1A"/>
                                  <w:sz w:val="14"/>
                                  <w:szCs w:val="14"/>
                                  <w:lang w:val="lv-LV"/>
                                </w:rPr>
                                <w:t>Pārrunas</w:t>
                              </w:r>
                            </w:p>
                          </w:txbxContent>
                        </wps:txbx>
                        <wps:bodyPr wrap="square" rtlCol="0">
                          <a:noAutofit/>
                        </wps:bodyPr>
                      </wps:wsp>
                      <wps:wsp>
                        <wps:cNvPr id="28" name="TextBox 16"/>
                        <wps:cNvSpPr txBox="1"/>
                        <wps:spPr>
                          <a:xfrm>
                            <a:off x="5588843" y="2074867"/>
                            <a:ext cx="1037526" cy="397172"/>
                          </a:xfrm>
                          <a:prstGeom prst="rect">
                            <a:avLst/>
                          </a:prstGeom>
                          <a:noFill/>
                        </wps:spPr>
                        <wps:txbx>
                          <w:txbxContent>
                            <w:p w14:paraId="3FA565A9" w14:textId="77777777" w:rsidR="00B80382" w:rsidRPr="002A7D65" w:rsidRDefault="00B80382" w:rsidP="00B80382">
                              <w:pPr>
                                <w:pStyle w:val="NormalWeb"/>
                                <w:spacing w:before="0" w:beforeAutospacing="0" w:after="0" w:afterAutospacing="0"/>
                                <w:rPr>
                                  <w:lang w:val="lv-LV"/>
                                </w:rPr>
                              </w:pPr>
                              <w:r w:rsidRPr="002A7D65">
                                <w:rPr>
                                  <w:rFonts w:asciiTheme="minorHAnsi" w:hAnsi="Calibri" w:cstheme="minorBidi"/>
                                  <w:color w:val="000000" w:themeColor="text1"/>
                                  <w:kern w:val="24"/>
                                  <w:sz w:val="36"/>
                                  <w:szCs w:val="36"/>
                                  <w:lang w:val="lv-LV"/>
                                </w:rPr>
                                <w:t>XXXXXXX</w:t>
                              </w:r>
                            </w:p>
                          </w:txbxContent>
                        </wps:txbx>
                        <wps:bodyPr wrap="square" rtlCol="0">
                          <a:noAutofit/>
                        </wps:bodyPr>
                      </wps:wsp>
                      <wps:wsp>
                        <wps:cNvPr id="29" name="Rectangle 29"/>
                        <wps:cNvSpPr/>
                        <wps:spPr>
                          <a:xfrm>
                            <a:off x="1854327" y="1203213"/>
                            <a:ext cx="3205537" cy="1158199"/>
                          </a:xfrm>
                          <a:prstGeom prst="rect">
                            <a:avLst/>
                          </a:prstGeom>
                          <a:solidFill>
                            <a:srgbClr val="CDD9E7"/>
                          </a:solidFill>
                          <a:ln w="1905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F25FBF" w14:textId="77777777" w:rsidR="00B80382" w:rsidRPr="002A7D65" w:rsidRDefault="00B80382" w:rsidP="00B80382">
                              <w:pPr>
                                <w:ind w:firstLine="0"/>
                                <w:rPr>
                                  <w:color w:val="171717" w:themeColor="background2" w:themeShade="1A"/>
                                  <w:sz w:val="20"/>
                                  <w:szCs w:val="20"/>
                                </w:rPr>
                              </w:pPr>
                              <w:r w:rsidRPr="002A7D65">
                                <w:rPr>
                                  <w:color w:val="171717" w:themeColor="background2" w:themeShade="1A"/>
                                  <w:sz w:val="20"/>
                                  <w:szCs w:val="20"/>
                                </w:rPr>
                                <w:t>Finansēšanas  formula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0" name="Rectangle 30"/>
                        <wps:cNvSpPr/>
                        <wps:spPr>
                          <a:xfrm>
                            <a:off x="0" y="3476841"/>
                            <a:ext cx="7004118" cy="551111"/>
                          </a:xfrm>
                          <a:prstGeom prst="rect">
                            <a:avLst/>
                          </a:prstGeom>
                          <a:solidFill>
                            <a:srgbClr val="C8D5E5"/>
                          </a:solidFill>
                          <a:ln w="1905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7614D7" w14:textId="77777777" w:rsidR="00B80382" w:rsidRPr="002A7D65" w:rsidRDefault="00B80382" w:rsidP="00B80382">
                              <w:pPr>
                                <w:ind w:firstLine="0"/>
                                <w:rPr>
                                  <w:color w:val="171717" w:themeColor="background2" w:themeShade="1A"/>
                                  <w:sz w:val="14"/>
                                  <w:szCs w:val="14"/>
                                </w:rPr>
                              </w:pPr>
                              <w:r w:rsidRPr="002A7D65">
                                <w:rPr>
                                  <w:color w:val="171717" w:themeColor="background2" w:themeShade="1A"/>
                                  <w:sz w:val="14"/>
                                  <w:szCs w:val="14"/>
                                </w:rPr>
                                <w:t>Projektos balstīts finasējums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1" name="Rectangle 31"/>
                        <wps:cNvSpPr/>
                        <wps:spPr>
                          <a:xfrm>
                            <a:off x="1848968" y="2068462"/>
                            <a:ext cx="1578193" cy="780836"/>
                          </a:xfrm>
                          <a:prstGeom prst="rect">
                            <a:avLst/>
                          </a:prstGeom>
                          <a:solidFill>
                            <a:schemeClr val="bg1"/>
                          </a:solidFill>
                          <a:ln w="1905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06AAD6" w14:textId="77777777" w:rsidR="00B80382" w:rsidRPr="002A7D65" w:rsidRDefault="00B80382" w:rsidP="00B80382">
                              <w:pPr>
                                <w:ind w:firstLine="0"/>
                                <w:rPr>
                                  <w:color w:val="171717" w:themeColor="background2" w:themeShade="1A"/>
                                  <w:sz w:val="10"/>
                                  <w:szCs w:val="10"/>
                                </w:rPr>
                              </w:pPr>
                              <w:r w:rsidRPr="002A7D65">
                                <w:rPr>
                                  <w:color w:val="171717" w:themeColor="background2" w:themeShade="1A"/>
                                  <w:sz w:val="10"/>
                                  <w:szCs w:val="10"/>
                                </w:rPr>
                                <w:t>Snieguma krtiēriji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2" name="Rectangle 32"/>
                        <wps:cNvSpPr/>
                        <wps:spPr>
                          <a:xfrm>
                            <a:off x="3547342" y="2074918"/>
                            <a:ext cx="1514468" cy="780836"/>
                          </a:xfrm>
                          <a:prstGeom prst="rect">
                            <a:avLst/>
                          </a:prstGeom>
                          <a:solidFill>
                            <a:schemeClr val="bg1"/>
                          </a:solidFill>
                          <a:ln w="1905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932727" w14:textId="77777777" w:rsidR="00B80382" w:rsidRPr="002A7D65" w:rsidRDefault="00B80382" w:rsidP="00B80382">
                              <w:pPr>
                                <w:ind w:firstLine="0"/>
                                <w:rPr>
                                  <w:color w:val="171717" w:themeColor="background2" w:themeShade="1A"/>
                                  <w:sz w:val="10"/>
                                  <w:szCs w:val="10"/>
                                </w:rPr>
                              </w:pPr>
                              <w:r w:rsidRPr="002A7D65">
                                <w:rPr>
                                  <w:color w:val="171717" w:themeColor="background2" w:themeShade="1A"/>
                                  <w:sz w:val="10"/>
                                  <w:szCs w:val="10"/>
                                </w:rPr>
                                <w:t>Ieguldījuma kritēriji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3" name="TextBox 23"/>
                        <wps:cNvSpPr txBox="1"/>
                        <wps:spPr>
                          <a:xfrm>
                            <a:off x="2961214" y="1497982"/>
                            <a:ext cx="1037526" cy="397172"/>
                          </a:xfrm>
                          <a:prstGeom prst="rect">
                            <a:avLst/>
                          </a:prstGeom>
                          <a:noFill/>
                        </wps:spPr>
                        <wps:txbx>
                          <w:txbxContent>
                            <w:p w14:paraId="75BE483F" w14:textId="77777777" w:rsidR="00B80382" w:rsidRPr="002A7D65" w:rsidRDefault="00B80382" w:rsidP="00B80382">
                              <w:pPr>
                                <w:pStyle w:val="NormalWeb"/>
                                <w:spacing w:before="0" w:beforeAutospacing="0" w:after="0" w:afterAutospacing="0"/>
                                <w:rPr>
                                  <w:lang w:val="lv-LV"/>
                                </w:rPr>
                              </w:pPr>
                              <w:r w:rsidRPr="002A7D65">
                                <w:rPr>
                                  <w:rFonts w:asciiTheme="minorHAnsi" w:hAnsi="Calibri" w:cstheme="minorBidi"/>
                                  <w:color w:val="000000" w:themeColor="text1"/>
                                  <w:kern w:val="24"/>
                                  <w:sz w:val="36"/>
                                  <w:szCs w:val="36"/>
                                  <w:lang w:val="lv-LV"/>
                                </w:rPr>
                                <w:t>XXXXXXX</w:t>
                              </w:r>
                            </w:p>
                          </w:txbxContent>
                        </wps:txbx>
                        <wps:bodyPr wrap="square" rtlCol="0">
                          <a:noAutofit/>
                        </wps:bodyPr>
                      </wps:wsp>
                      <wps:wsp>
                        <wps:cNvPr id="34" name="TextBox 24"/>
                        <wps:cNvSpPr txBox="1"/>
                        <wps:spPr>
                          <a:xfrm>
                            <a:off x="2098499" y="2078925"/>
                            <a:ext cx="1037526" cy="397172"/>
                          </a:xfrm>
                          <a:prstGeom prst="rect">
                            <a:avLst/>
                          </a:prstGeom>
                          <a:noFill/>
                        </wps:spPr>
                        <wps:txbx>
                          <w:txbxContent>
                            <w:p w14:paraId="685E8936" w14:textId="77777777" w:rsidR="00B80382" w:rsidRPr="002A7D65" w:rsidRDefault="00B80382" w:rsidP="00B80382">
                              <w:pPr>
                                <w:pStyle w:val="NormalWeb"/>
                                <w:spacing w:before="0" w:beforeAutospacing="0" w:after="0" w:afterAutospacing="0"/>
                                <w:rPr>
                                  <w:lang w:val="lv-LV"/>
                                </w:rPr>
                              </w:pPr>
                              <w:r w:rsidRPr="002A7D65">
                                <w:rPr>
                                  <w:rFonts w:asciiTheme="minorHAnsi" w:hAnsi="Calibri" w:cstheme="minorBidi"/>
                                  <w:color w:val="000000" w:themeColor="text1"/>
                                  <w:kern w:val="24"/>
                                  <w:sz w:val="36"/>
                                  <w:szCs w:val="36"/>
                                  <w:lang w:val="lv-LV"/>
                                </w:rPr>
                                <w:t>XXXXXXX</w:t>
                              </w:r>
                            </w:p>
                          </w:txbxContent>
                        </wps:txbx>
                        <wps:bodyPr wrap="square" rtlCol="0">
                          <a:noAutofit/>
                        </wps:bodyPr>
                      </wps:wsp>
                      <wps:wsp>
                        <wps:cNvPr id="35" name="TextBox 25"/>
                        <wps:cNvSpPr txBox="1"/>
                        <wps:spPr>
                          <a:xfrm>
                            <a:off x="3791363" y="2123792"/>
                            <a:ext cx="1037526" cy="397172"/>
                          </a:xfrm>
                          <a:prstGeom prst="rect">
                            <a:avLst/>
                          </a:prstGeom>
                          <a:noFill/>
                        </wps:spPr>
                        <wps:txbx>
                          <w:txbxContent>
                            <w:p w14:paraId="029F0F84" w14:textId="77777777" w:rsidR="00B80382" w:rsidRPr="002A7D65" w:rsidRDefault="00B80382" w:rsidP="00B80382">
                              <w:pPr>
                                <w:pStyle w:val="NormalWeb"/>
                                <w:spacing w:before="0" w:beforeAutospacing="0" w:after="0" w:afterAutospacing="0"/>
                                <w:rPr>
                                  <w:lang w:val="lv-LV"/>
                                </w:rPr>
                              </w:pPr>
                              <w:r w:rsidRPr="002A7D65">
                                <w:rPr>
                                  <w:rFonts w:asciiTheme="minorHAnsi" w:hAnsi="Calibri" w:cstheme="minorBidi"/>
                                  <w:color w:val="000000" w:themeColor="text1"/>
                                  <w:kern w:val="24"/>
                                  <w:sz w:val="36"/>
                                  <w:szCs w:val="36"/>
                                  <w:lang w:val="lv-LV"/>
                                </w:rPr>
                                <w:t>XXXXXXX</w:t>
                              </w:r>
                            </w:p>
                          </w:txbxContent>
                        </wps:txbx>
                        <wps:bodyPr wrap="square" rtlCol="0">
                          <a:noAutofit/>
                        </wps:bodyPr>
                      </wps:wsp>
                      <wps:wsp>
                        <wps:cNvPr id="39" name="TextBox 28"/>
                        <wps:cNvSpPr txBox="1"/>
                        <wps:spPr>
                          <a:xfrm>
                            <a:off x="93374" y="3504877"/>
                            <a:ext cx="1037526" cy="397172"/>
                          </a:xfrm>
                          <a:prstGeom prst="rect">
                            <a:avLst/>
                          </a:prstGeom>
                          <a:noFill/>
                        </wps:spPr>
                        <wps:txbx>
                          <w:txbxContent>
                            <w:p w14:paraId="74EE3178" w14:textId="77777777" w:rsidR="00B80382" w:rsidRPr="002A7D65" w:rsidRDefault="00B80382" w:rsidP="00B80382">
                              <w:pPr>
                                <w:pStyle w:val="NormalWeb"/>
                                <w:spacing w:before="0" w:beforeAutospacing="0" w:after="0" w:afterAutospacing="0"/>
                                <w:rPr>
                                  <w:lang w:val="lv-LV"/>
                                </w:rPr>
                              </w:pPr>
                              <w:r w:rsidRPr="002A7D65">
                                <w:rPr>
                                  <w:rFonts w:asciiTheme="minorHAnsi" w:hAnsi="Calibri" w:cstheme="minorBidi"/>
                                  <w:color w:val="000000" w:themeColor="text1"/>
                                  <w:kern w:val="24"/>
                                  <w:sz w:val="36"/>
                                  <w:szCs w:val="36"/>
                                  <w:lang w:val="lv-LV"/>
                                </w:rPr>
                                <w:t>XXXXXXX</w:t>
                              </w:r>
                            </w:p>
                          </w:txbxContent>
                        </wps:txbx>
                        <wps:bodyPr wrap="square" rtlCol="0">
                          <a:noAutofit/>
                        </wps:bodyPr>
                      </wps:wsp>
                      <wps:wsp>
                        <wps:cNvPr id="40" name="TextBox 29"/>
                        <wps:cNvSpPr txBox="1"/>
                        <wps:spPr>
                          <a:xfrm>
                            <a:off x="93373" y="4084923"/>
                            <a:ext cx="1037526" cy="397172"/>
                          </a:xfrm>
                          <a:prstGeom prst="rect">
                            <a:avLst/>
                          </a:prstGeom>
                          <a:noFill/>
                        </wps:spPr>
                        <wps:txbx>
                          <w:txbxContent>
                            <w:p w14:paraId="4758C66D" w14:textId="77777777" w:rsidR="00B80382" w:rsidRPr="002A7D65" w:rsidRDefault="00B80382" w:rsidP="00B80382">
                              <w:pPr>
                                <w:pStyle w:val="NormalWeb"/>
                                <w:spacing w:before="0" w:beforeAutospacing="0" w:after="0" w:afterAutospacing="0"/>
                                <w:rPr>
                                  <w:lang w:val="lv-LV"/>
                                </w:rPr>
                              </w:pPr>
                              <w:r w:rsidRPr="002A7D65">
                                <w:rPr>
                                  <w:rFonts w:asciiTheme="minorHAnsi" w:hAnsi="Calibri" w:cstheme="minorBidi"/>
                                  <w:color w:val="000000" w:themeColor="text1"/>
                                  <w:kern w:val="24"/>
                                  <w:sz w:val="36"/>
                                  <w:szCs w:val="36"/>
                                  <w:lang w:val="lv-LV"/>
                                </w:rPr>
                                <w:t>XXXXXXX</w:t>
                              </w:r>
                            </w:p>
                          </w:txbxContent>
                        </wps:txbx>
                        <wps:bodyPr wrap="square" rtlCol="0">
                          <a:noAutofit/>
                        </wps:bodyPr>
                      </wps:wsp>
                      <wps:wsp>
                        <wps:cNvPr id="41" name="TextBox 30"/>
                        <wps:cNvSpPr txBox="1"/>
                        <wps:spPr>
                          <a:xfrm>
                            <a:off x="93373" y="4695931"/>
                            <a:ext cx="1037526" cy="397172"/>
                          </a:xfrm>
                          <a:prstGeom prst="rect">
                            <a:avLst/>
                          </a:prstGeom>
                          <a:noFill/>
                        </wps:spPr>
                        <wps:txbx>
                          <w:txbxContent>
                            <w:p w14:paraId="109EF9DE" w14:textId="77777777" w:rsidR="00B80382" w:rsidRPr="002A7D65" w:rsidRDefault="00B80382" w:rsidP="00B80382">
                              <w:pPr>
                                <w:pStyle w:val="NormalWeb"/>
                                <w:spacing w:before="0" w:beforeAutospacing="0" w:after="0" w:afterAutospacing="0"/>
                                <w:rPr>
                                  <w:lang w:val="lv-LV"/>
                                </w:rPr>
                              </w:pPr>
                              <w:r w:rsidRPr="002A7D65">
                                <w:rPr>
                                  <w:rFonts w:asciiTheme="minorHAnsi" w:hAnsi="Calibri" w:cstheme="minorBidi"/>
                                  <w:color w:val="000000" w:themeColor="text1"/>
                                  <w:kern w:val="24"/>
                                  <w:sz w:val="36"/>
                                  <w:szCs w:val="36"/>
                                  <w:lang w:val="lv-LV"/>
                                </w:rPr>
                                <w:t>XXXXXXX</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0710D102" id="Group 31" o:spid="_x0000_s1028" style="position:absolute;left:0;text-align:left;margin-left:0;margin-top:14.7pt;width:238.3pt;height:147.9pt;z-index:251664384;mso-position-horizontal:center;mso-position-horizontal-relative:page;mso-width-relative:margin;mso-height-relative:margin" coordsize="70041,50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">
                <v:rect id="Rectangle 17" o:spid="_x0000_s1029" style="position:absolute;width:70041;height:33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" fillcolor="#c8d5e5" stroked="f" strokeweight="1pt"/>
                <v:shapetype id="_x0000_t202" coordsize="21600,21600" o:spt="202" path="m,l,21600r21600,l21600,xe">
                  <v:stroke joinstyle="miter"/>
                  <v:path gradientshapeok="t" o:connecttype="rect"/>
                </v:shapetype>
                <v:shape id="TextBox 5" o:spid="_x0000_s1030" type="#_x0000_t202" style="position:absolute;left:18891;width:31369;height:6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2E85B992" w14:textId="77777777" w:rsidR="00B80382" w:rsidRPr="002A7D65" w:rsidRDefault="00B80382" w:rsidP="00B80382">
                        <w:pPr>
                          <w:pStyle w:val="NormalWeb"/>
                          <w:spacing w:before="0" w:beforeAutospacing="0" w:after="0" w:afterAutospacing="0"/>
                          <w:jc w:val="center"/>
                          <w:rPr>
                            <w:color w:val="171717" w:themeColor="background2" w:themeShade="1A"/>
                            <w:sz w:val="14"/>
                            <w:szCs w:val="14"/>
                            <w:lang w:val="lv-LV"/>
                          </w:rPr>
                        </w:pPr>
                        <w:r w:rsidRPr="002A7D65">
                          <w:rPr>
                            <w:rFonts w:asciiTheme="minorHAnsi" w:hAnsi="Calibri" w:cstheme="minorBidi"/>
                            <w:color w:val="171717" w:themeColor="background2" w:themeShade="1A"/>
                            <w:kern w:val="24"/>
                            <w:sz w:val="20"/>
                            <w:szCs w:val="20"/>
                            <w:lang w:val="lv-LV"/>
                          </w:rPr>
                          <w:t>Bloka dotācija</w:t>
                        </w:r>
                      </w:p>
                    </w:txbxContent>
                  </v:textbox>
                </v:shape>
                <v:rect id="Rectangle 19" o:spid="_x0000_s1031" style="position:absolute;left:2073;top:5764;width:32052;height:24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" fillcolor="white [3212]" strokecolor="#a5a5a5 [2092]" strokeweight="1.5pt"/>
                <v:rect id="Rectangle 20" o:spid="_x0000_s1032" style="position:absolute;left:35460;top:5764;width:32051;height:24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" fillcolor="white [3212]" strokecolor="#a5a5a5 [2092]" strokeweight="1.5pt"/>
                <v:rect id="Rectangle 21" o:spid="_x0000_s1033" style="position:absolute;left:2073;top:12246;width:15232;height:167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" fillcolor="#aec2db" strokecolor="#a5a5a5 [2092]" strokeweight="1.5pt">
                  <v:textbox>
                    <w:txbxContent>
                      <w:p w14:paraId="65322576" w14:textId="77777777" w:rsidR="00B80382" w:rsidRPr="002A7D65" w:rsidRDefault="00B80382" w:rsidP="00B80382">
                        <w:pPr>
                          <w:ind w:firstLine="0"/>
                          <w:rPr>
                            <w:color w:val="171717" w:themeColor="background2" w:themeShade="1A"/>
                            <w:sz w:val="18"/>
                            <w:szCs w:val="18"/>
                          </w:rPr>
                        </w:pPr>
                        <w:r w:rsidRPr="002A7D65">
                          <w:rPr>
                            <w:color w:val="171717" w:themeColor="background2" w:themeShade="1A"/>
                            <w:sz w:val="18"/>
                            <w:szCs w:val="18"/>
                          </w:rPr>
                          <w:t>Snieguma līgums</w:t>
                        </w:r>
                      </w:p>
                    </w:txbxContent>
                  </v:textbox>
                </v:rect>
                <v:shape id="TextBox 9" o:spid="_x0000_s1034" type="#_x0000_t202" style="position:absolute;left:3380;top:6541;width:30891;height:5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150AC4CE" w14:textId="77777777" w:rsidR="00B80382" w:rsidRPr="002A7D65" w:rsidRDefault="00B80382" w:rsidP="00B80382">
                        <w:pPr>
                          <w:pStyle w:val="NormalWeb"/>
                          <w:spacing w:before="0" w:beforeAutospacing="0" w:after="0" w:afterAutospacing="0"/>
                          <w:rPr>
                            <w:color w:val="171717" w:themeColor="background2" w:themeShade="1A"/>
                            <w:sz w:val="8"/>
                            <w:szCs w:val="8"/>
                            <w:lang w:val="lv-LV"/>
                          </w:rPr>
                        </w:pPr>
                        <w:r w:rsidRPr="002A7D65">
                          <w:rPr>
                            <w:rFonts w:asciiTheme="minorHAnsi" w:hAnsi="Calibri" w:cstheme="minorBidi"/>
                            <w:color w:val="171717" w:themeColor="background2" w:themeShade="1A"/>
                            <w:kern w:val="24"/>
                            <w:sz w:val="14"/>
                            <w:szCs w:val="14"/>
                            <w:lang w:val="lv-LV"/>
                          </w:rPr>
                          <w:t>Sniegumā balstīts finansējums</w:t>
                        </w:r>
                      </w:p>
                    </w:txbxContent>
                  </v:textbox>
                </v:shape>
                <v:shape id="TextBox 11" o:spid="_x0000_s1035" type="#_x0000_t202" style="position:absolute;left:48288;top:6055;width:9535;height:6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2616F8DB" w14:textId="77777777" w:rsidR="00B80382" w:rsidRPr="002A7D65" w:rsidRDefault="00B80382" w:rsidP="00B80382">
                        <w:pPr>
                          <w:pStyle w:val="NormalWeb"/>
                          <w:spacing w:before="0" w:beforeAutospacing="0" w:after="0" w:afterAutospacing="0"/>
                          <w:rPr>
                            <w:color w:val="171717" w:themeColor="background2" w:themeShade="1A"/>
                            <w:sz w:val="14"/>
                            <w:szCs w:val="14"/>
                            <w:lang w:val="lv-LV"/>
                          </w:rPr>
                        </w:pPr>
                        <w:r w:rsidRPr="002A7D65">
                          <w:rPr>
                            <w:rFonts w:asciiTheme="minorHAnsi" w:hAnsi="Calibri" w:cstheme="minorBidi"/>
                            <w:color w:val="171717" w:themeColor="background2" w:themeShade="1A"/>
                            <w:kern w:val="24"/>
                            <w:sz w:val="20"/>
                            <w:szCs w:val="20"/>
                            <w:lang w:val="lv-LV"/>
                          </w:rPr>
                          <w:t>Cits</w:t>
                        </w:r>
                      </w:p>
                    </w:txbxContent>
                  </v:textbox>
                </v:shape>
                <v:rect id="Rectangle 25" o:spid="_x0000_s1036" style="position:absolute;left:53221;top:12051;width:14290;height:7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" fillcolor="#aec2db" strokecolor="#a5a5a5 [2092]" strokeweight="1.5pt"/>
                <v:rect id="Rectangle 26" o:spid="_x0000_s1037" style="position:absolute;left:53221;top:20684;width:14290;height:8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" fillcolor="#f0f1f5" strokecolor="#a5a5a5 [2092]" strokeweight="1.5pt">
                  <v:textbox>
                    <w:txbxContent>
                      <w:p w14:paraId="25DD013F" w14:textId="77777777" w:rsidR="00B80382" w:rsidRPr="002A7D65" w:rsidRDefault="00B80382" w:rsidP="00B80382">
                        <w:pPr>
                          <w:ind w:firstLine="0"/>
                          <w:rPr>
                            <w:color w:val="171717" w:themeColor="background2" w:themeShade="1A"/>
                            <w:sz w:val="10"/>
                            <w:szCs w:val="10"/>
                          </w:rPr>
                        </w:pPr>
                        <w:r w:rsidRPr="002A7D65">
                          <w:rPr>
                            <w:color w:val="171717" w:themeColor="background2" w:themeShade="1A"/>
                            <w:sz w:val="10"/>
                            <w:szCs w:val="10"/>
                          </w:rPr>
                          <w:t>Vēsturiskā</w:t>
                        </w:r>
                      </w:p>
                    </w:txbxContent>
                  </v:textbox>
                </v:rect>
                <v:shape id="TextBox 15" o:spid="_x0000_s1038" type="#_x0000_t202" style="position:absolute;left:53934;top:13133;width:11515;height:5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63CE2442" w14:textId="77777777" w:rsidR="00B80382" w:rsidRPr="002A7D65" w:rsidRDefault="00B80382" w:rsidP="00B80382">
                        <w:pPr>
                          <w:pStyle w:val="NormalWeb"/>
                          <w:spacing w:before="0" w:beforeAutospacing="0" w:after="0" w:afterAutospacing="0"/>
                          <w:rPr>
                            <w:color w:val="171717" w:themeColor="background2" w:themeShade="1A"/>
                            <w:sz w:val="14"/>
                            <w:szCs w:val="14"/>
                            <w:lang w:val="lv-LV"/>
                          </w:rPr>
                        </w:pPr>
                        <w:r w:rsidRPr="002A7D65">
                          <w:rPr>
                            <w:color w:val="171717" w:themeColor="background2" w:themeShade="1A"/>
                            <w:sz w:val="14"/>
                            <w:szCs w:val="14"/>
                            <w:lang w:val="lv-LV"/>
                          </w:rPr>
                          <w:t>Pārrunas</w:t>
                        </w:r>
                      </w:p>
                    </w:txbxContent>
                  </v:textbox>
                </v:shape>
                <v:shape id="TextBox 16" o:spid="_x0000_s1039" type="#_x0000_t202" style="position:absolute;left:55888;top:20748;width:10375;height:3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3FA565A9" w14:textId="77777777" w:rsidR="00B80382" w:rsidRPr="002A7D65" w:rsidRDefault="00B80382" w:rsidP="00B80382">
                        <w:pPr>
                          <w:pStyle w:val="NormalWeb"/>
                          <w:spacing w:before="0" w:beforeAutospacing="0" w:after="0" w:afterAutospacing="0"/>
                          <w:rPr>
                            <w:lang w:val="lv-LV"/>
                          </w:rPr>
                        </w:pPr>
                        <w:r w:rsidRPr="002A7D65">
                          <w:rPr>
                            <w:rFonts w:asciiTheme="minorHAnsi" w:hAnsi="Calibri" w:cstheme="minorBidi"/>
                            <w:color w:val="000000" w:themeColor="text1"/>
                            <w:kern w:val="24"/>
                            <w:sz w:val="36"/>
                            <w:szCs w:val="36"/>
                            <w:lang w:val="lv-LV"/>
                          </w:rPr>
                          <w:t>XXXXXXX</w:t>
                        </w:r>
                      </w:p>
                    </w:txbxContent>
                  </v:textbox>
                </v:shape>
                <v:rect id="Rectangle 29" o:spid="_x0000_s1040" style="position:absolute;left:18543;top:12032;width:32055;height:115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" fillcolor="#cdd9e7" strokecolor="#a5a5a5 [2092]" strokeweight="1.5pt">
                  <v:textbox>
                    <w:txbxContent>
                      <w:p w14:paraId="13F25FBF" w14:textId="77777777" w:rsidR="00B80382" w:rsidRPr="002A7D65" w:rsidRDefault="00B80382" w:rsidP="00B80382">
                        <w:pPr>
                          <w:ind w:firstLine="0"/>
                          <w:rPr>
                            <w:color w:val="171717" w:themeColor="background2" w:themeShade="1A"/>
                            <w:sz w:val="20"/>
                            <w:szCs w:val="20"/>
                          </w:rPr>
                        </w:pPr>
                        <w:r w:rsidRPr="002A7D65">
                          <w:rPr>
                            <w:color w:val="171717" w:themeColor="background2" w:themeShade="1A"/>
                            <w:sz w:val="20"/>
                            <w:szCs w:val="20"/>
                          </w:rPr>
                          <w:t>Finansēšanas  formula</w:t>
                        </w:r>
                      </w:p>
                    </w:txbxContent>
                  </v:textbox>
                </v:rect>
                <v:rect id="Rectangle 30" o:spid="_x0000_s1041" style="position:absolute;top:34768;width:70041;height:55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" fillcolor="#c8d5e5" strokecolor="#a5a5a5 [2092]" strokeweight="1.5pt">
                  <v:textbox>
                    <w:txbxContent>
                      <w:p w14:paraId="157614D7" w14:textId="77777777" w:rsidR="00B80382" w:rsidRPr="002A7D65" w:rsidRDefault="00B80382" w:rsidP="00B80382">
                        <w:pPr>
                          <w:ind w:firstLine="0"/>
                          <w:rPr>
                            <w:color w:val="171717" w:themeColor="background2" w:themeShade="1A"/>
                            <w:sz w:val="14"/>
                            <w:szCs w:val="14"/>
                          </w:rPr>
                        </w:pPr>
                        <w:r w:rsidRPr="002A7D65">
                          <w:rPr>
                            <w:color w:val="171717" w:themeColor="background2" w:themeShade="1A"/>
                            <w:sz w:val="14"/>
                            <w:szCs w:val="14"/>
                          </w:rPr>
                          <w:t>Projektos balstīts finasējums</w:t>
                        </w:r>
                      </w:p>
                    </w:txbxContent>
                  </v:textbox>
                </v:rect>
                <v:rect id="Rectangle 31" o:spid="_x0000_s1042" style="position:absolute;left:18489;top:20684;width:15782;height:78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" fillcolor="white [3212]" strokecolor="#a5a5a5 [2092]" strokeweight="1.5pt">
                  <v:textbox>
                    <w:txbxContent>
                      <w:p w14:paraId="1906AAD6" w14:textId="77777777" w:rsidR="00B80382" w:rsidRPr="002A7D65" w:rsidRDefault="00B80382" w:rsidP="00B80382">
                        <w:pPr>
                          <w:ind w:firstLine="0"/>
                          <w:rPr>
                            <w:color w:val="171717" w:themeColor="background2" w:themeShade="1A"/>
                            <w:sz w:val="10"/>
                            <w:szCs w:val="10"/>
                          </w:rPr>
                        </w:pPr>
                        <w:r w:rsidRPr="002A7D65">
                          <w:rPr>
                            <w:color w:val="171717" w:themeColor="background2" w:themeShade="1A"/>
                            <w:sz w:val="10"/>
                            <w:szCs w:val="10"/>
                          </w:rPr>
                          <w:t>Snieguma krtiēriji</w:t>
                        </w:r>
                      </w:p>
                    </w:txbxContent>
                  </v:textbox>
                </v:rect>
                <v:rect id="Rectangle 32" o:spid="_x0000_s1043" style="position:absolute;left:35473;top:20749;width:15145;height:78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" fillcolor="white [3212]" strokecolor="#a5a5a5 [2092]" strokeweight="1.5pt">
                  <v:textbox>
                    <w:txbxContent>
                      <w:p w14:paraId="09932727" w14:textId="77777777" w:rsidR="00B80382" w:rsidRPr="002A7D65" w:rsidRDefault="00B80382" w:rsidP="00B80382">
                        <w:pPr>
                          <w:ind w:firstLine="0"/>
                          <w:rPr>
                            <w:color w:val="171717" w:themeColor="background2" w:themeShade="1A"/>
                            <w:sz w:val="10"/>
                            <w:szCs w:val="10"/>
                          </w:rPr>
                        </w:pPr>
                        <w:r w:rsidRPr="002A7D65">
                          <w:rPr>
                            <w:color w:val="171717" w:themeColor="background2" w:themeShade="1A"/>
                            <w:sz w:val="10"/>
                            <w:szCs w:val="10"/>
                          </w:rPr>
                          <w:t>Ieguldījuma kritēriji</w:t>
                        </w:r>
                      </w:p>
                    </w:txbxContent>
                  </v:textbox>
                </v:rect>
                <v:shape id="TextBox 23" o:spid="_x0000_s1044" type="#_x0000_t202" style="position:absolute;left:29612;top:14979;width:10375;height:3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14:paraId="75BE483F" w14:textId="77777777" w:rsidR="00B80382" w:rsidRPr="002A7D65" w:rsidRDefault="00B80382" w:rsidP="00B80382">
                        <w:pPr>
                          <w:pStyle w:val="NormalWeb"/>
                          <w:spacing w:before="0" w:beforeAutospacing="0" w:after="0" w:afterAutospacing="0"/>
                          <w:rPr>
                            <w:lang w:val="lv-LV"/>
                          </w:rPr>
                        </w:pPr>
                        <w:r w:rsidRPr="002A7D65">
                          <w:rPr>
                            <w:rFonts w:asciiTheme="minorHAnsi" w:hAnsi="Calibri" w:cstheme="minorBidi"/>
                            <w:color w:val="000000" w:themeColor="text1"/>
                            <w:kern w:val="24"/>
                            <w:sz w:val="36"/>
                            <w:szCs w:val="36"/>
                            <w:lang w:val="lv-LV"/>
                          </w:rPr>
                          <w:t>XXXXXXX</w:t>
                        </w:r>
                      </w:p>
                    </w:txbxContent>
                  </v:textbox>
                </v:shape>
                <v:shape id="TextBox 24" o:spid="_x0000_s1045" type="#_x0000_t202" style="position:absolute;left:20984;top:20789;width:10376;height:3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685E8936" w14:textId="77777777" w:rsidR="00B80382" w:rsidRPr="002A7D65" w:rsidRDefault="00B80382" w:rsidP="00B80382">
                        <w:pPr>
                          <w:pStyle w:val="NormalWeb"/>
                          <w:spacing w:before="0" w:beforeAutospacing="0" w:after="0" w:afterAutospacing="0"/>
                          <w:rPr>
                            <w:lang w:val="lv-LV"/>
                          </w:rPr>
                        </w:pPr>
                        <w:r w:rsidRPr="002A7D65">
                          <w:rPr>
                            <w:rFonts w:asciiTheme="minorHAnsi" w:hAnsi="Calibri" w:cstheme="minorBidi"/>
                            <w:color w:val="000000" w:themeColor="text1"/>
                            <w:kern w:val="24"/>
                            <w:sz w:val="36"/>
                            <w:szCs w:val="36"/>
                            <w:lang w:val="lv-LV"/>
                          </w:rPr>
                          <w:t>XXXXXXX</w:t>
                        </w:r>
                      </w:p>
                    </w:txbxContent>
                  </v:textbox>
                </v:shape>
                <v:shape id="TextBox 25" o:spid="_x0000_s1046" type="#_x0000_t202" style="position:absolute;left:37913;top:21237;width:10375;height:3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029F0F84" w14:textId="77777777" w:rsidR="00B80382" w:rsidRPr="002A7D65" w:rsidRDefault="00B80382" w:rsidP="00B80382">
                        <w:pPr>
                          <w:pStyle w:val="NormalWeb"/>
                          <w:spacing w:before="0" w:beforeAutospacing="0" w:after="0" w:afterAutospacing="0"/>
                          <w:rPr>
                            <w:lang w:val="lv-LV"/>
                          </w:rPr>
                        </w:pPr>
                        <w:r w:rsidRPr="002A7D65">
                          <w:rPr>
                            <w:rFonts w:asciiTheme="minorHAnsi" w:hAnsi="Calibri" w:cstheme="minorBidi"/>
                            <w:color w:val="000000" w:themeColor="text1"/>
                            <w:kern w:val="24"/>
                            <w:sz w:val="36"/>
                            <w:szCs w:val="36"/>
                            <w:lang w:val="lv-LV"/>
                          </w:rPr>
                          <w:t>XXXXXXX</w:t>
                        </w:r>
                      </w:p>
                    </w:txbxContent>
                  </v:textbox>
                </v:shape>
                <v:shape id="TextBox 28" o:spid="_x0000_s1047" type="#_x0000_t202" style="position:absolute;left:933;top:35048;width:10376;height:3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14:paraId="74EE3178" w14:textId="77777777" w:rsidR="00B80382" w:rsidRPr="002A7D65" w:rsidRDefault="00B80382" w:rsidP="00B80382">
                        <w:pPr>
                          <w:pStyle w:val="NormalWeb"/>
                          <w:spacing w:before="0" w:beforeAutospacing="0" w:after="0" w:afterAutospacing="0"/>
                          <w:rPr>
                            <w:lang w:val="lv-LV"/>
                          </w:rPr>
                        </w:pPr>
                        <w:r w:rsidRPr="002A7D65">
                          <w:rPr>
                            <w:rFonts w:asciiTheme="minorHAnsi" w:hAnsi="Calibri" w:cstheme="minorBidi"/>
                            <w:color w:val="000000" w:themeColor="text1"/>
                            <w:kern w:val="24"/>
                            <w:sz w:val="36"/>
                            <w:szCs w:val="36"/>
                            <w:lang w:val="lv-LV"/>
                          </w:rPr>
                          <w:t>XXXXXXX</w:t>
                        </w:r>
                      </w:p>
                    </w:txbxContent>
                  </v:textbox>
                </v:shape>
                <v:shape id="TextBox 29" o:spid="_x0000_s1048" type="#_x0000_t202" style="position:absolute;left:933;top:40849;width:10375;height:3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14:paraId="4758C66D" w14:textId="77777777" w:rsidR="00B80382" w:rsidRPr="002A7D65" w:rsidRDefault="00B80382" w:rsidP="00B80382">
                        <w:pPr>
                          <w:pStyle w:val="NormalWeb"/>
                          <w:spacing w:before="0" w:beforeAutospacing="0" w:after="0" w:afterAutospacing="0"/>
                          <w:rPr>
                            <w:lang w:val="lv-LV"/>
                          </w:rPr>
                        </w:pPr>
                        <w:r w:rsidRPr="002A7D65">
                          <w:rPr>
                            <w:rFonts w:asciiTheme="minorHAnsi" w:hAnsi="Calibri" w:cstheme="minorBidi"/>
                            <w:color w:val="000000" w:themeColor="text1"/>
                            <w:kern w:val="24"/>
                            <w:sz w:val="36"/>
                            <w:szCs w:val="36"/>
                            <w:lang w:val="lv-LV"/>
                          </w:rPr>
                          <w:t>XXXXXXX</w:t>
                        </w:r>
                      </w:p>
                    </w:txbxContent>
                  </v:textbox>
                </v:shape>
                <v:shape id="TextBox 30" o:spid="_x0000_s1049" type="#_x0000_t202" style="position:absolute;left:933;top:46959;width:10375;height:3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" filled="f" stroked="f">
                  <v:textbox>
                    <w:txbxContent>
                      <w:p w14:paraId="109EF9DE" w14:textId="77777777" w:rsidR="00B80382" w:rsidRPr="002A7D65" w:rsidRDefault="00B80382" w:rsidP="00B80382">
                        <w:pPr>
                          <w:pStyle w:val="NormalWeb"/>
                          <w:spacing w:before="0" w:beforeAutospacing="0" w:after="0" w:afterAutospacing="0"/>
                          <w:rPr>
                            <w:lang w:val="lv-LV"/>
                          </w:rPr>
                        </w:pPr>
                        <w:r w:rsidRPr="002A7D65">
                          <w:rPr>
                            <w:rFonts w:asciiTheme="minorHAnsi" w:hAnsi="Calibri" w:cstheme="minorBidi"/>
                            <w:color w:val="000000" w:themeColor="text1"/>
                            <w:kern w:val="24"/>
                            <w:sz w:val="36"/>
                            <w:szCs w:val="36"/>
                            <w:lang w:val="lv-LV"/>
                          </w:rPr>
                          <w:t>XXXXXXX</w:t>
                        </w:r>
                      </w:p>
                    </w:txbxContent>
                  </v:textbox>
                </v:shape>
                <w10:wrap type="topAndBottom" anchorx="page"/>
              </v:group>
            </w:pict>
          </mc:Fallback>
        </mc:AlternateContent>
      </w:r>
    </w:p>
    <w:p w14:paraId="066398FD" w14:textId="77777777" w:rsidR="00B80382" w:rsidRPr="002A7D65" w:rsidRDefault="00B80382" w:rsidP="00B80382"/>
    <w:p w14:paraId="35F0E23D" w14:textId="7F9886DC" w:rsidR="00B80382" w:rsidRPr="002A7D65" w:rsidRDefault="00B80382" w:rsidP="00B80382">
      <w:r w:rsidRPr="002A7D65">
        <w:t xml:space="preserve">Šobrīd Latvijā </w:t>
      </w:r>
      <w:r w:rsidR="00BE708F" w:rsidRPr="002A7D65">
        <w:t>galvenokārt</w:t>
      </w:r>
      <w:r w:rsidRPr="002A7D65">
        <w:t xml:space="preserve"> ir uz vēsturiskajiem principiem balstītais finansējums un formulā (normētajās izmaksās) balstītais studiju finansējums. Lai atbilstu pasaules labākai praksei, uz vēsturiskajiem principiem balstīto komponenti būtu jāaizvieto ar elastīgāku </w:t>
      </w:r>
      <w:r w:rsidRPr="002A7D65">
        <w:lastRenderedPageBreak/>
        <w:t xml:space="preserve">sistēmu, kas veicinātu sasaisti ar valsts attīstības prioritātēm un </w:t>
      </w:r>
      <w:r w:rsidR="00D56649">
        <w:t xml:space="preserve">AII </w:t>
      </w:r>
      <w:r w:rsidRPr="002A7D65">
        <w:t xml:space="preserve"> kapacitāti (sasniegto izcilību). Kopumā attīstītajās valstīs tendence ir palielināt snieguma finansējuma nozīmi, jo tiek uzskatīts, ka tas veicina </w:t>
      </w:r>
      <w:proofErr w:type="spellStart"/>
      <w:r w:rsidRPr="002A7D65">
        <w:t>pārskatatbildību</w:t>
      </w:r>
      <w:proofErr w:type="spellEnd"/>
      <w:r w:rsidRPr="002A7D65">
        <w:t xml:space="preserve"> un sasaisti ar valsts attīstības mērķiem</w:t>
      </w:r>
      <w:r w:rsidRPr="002A7D65">
        <w:rPr>
          <w:rStyle w:val="FootnoteReference"/>
        </w:rPr>
        <w:footnoteReference w:id="14"/>
      </w:r>
      <w:r w:rsidRPr="002A7D65">
        <w:t xml:space="preserve">. </w:t>
      </w:r>
    </w:p>
    <w:p w14:paraId="75240274" w14:textId="77777777" w:rsidR="00B80382" w:rsidRPr="002A7D65" w:rsidRDefault="00B80382" w:rsidP="00B80382">
      <w:r w:rsidRPr="002A7D65">
        <w:t>Attīstoties pasaules pieredzei augstākās izglītības snieguma finansēšanā, citas valstis aizvien vairāk piekopj augstākās izglītības finansēšanas sistēmas, kas:</w:t>
      </w:r>
    </w:p>
    <w:p w14:paraId="017F1ED2" w14:textId="344607BB" w:rsidR="00B80382" w:rsidRPr="002A7D65" w:rsidRDefault="00B80382" w:rsidP="00B80382">
      <w:pPr>
        <w:pStyle w:val="ListParagraph"/>
        <w:numPr>
          <w:ilvl w:val="0"/>
          <w:numId w:val="3"/>
        </w:numPr>
        <w:rPr>
          <w:rFonts w:asciiTheme="minorHAnsi" w:hAnsiTheme="minorHAnsi" w:cstheme="minorBidi"/>
          <w:sz w:val="24"/>
        </w:rPr>
      </w:pPr>
      <w:r w:rsidRPr="002A7D65">
        <w:rPr>
          <w:rFonts w:asciiTheme="minorHAnsi" w:hAnsiTheme="minorHAnsi" w:cstheme="minorBidi"/>
          <w:sz w:val="24"/>
        </w:rPr>
        <w:t xml:space="preserve">stimulē specifiskās </w:t>
      </w:r>
      <w:r w:rsidR="00D56649">
        <w:rPr>
          <w:rFonts w:asciiTheme="minorHAnsi" w:hAnsiTheme="minorHAnsi" w:cstheme="minorBidi"/>
          <w:sz w:val="24"/>
        </w:rPr>
        <w:t>AII</w:t>
      </w:r>
      <w:r w:rsidRPr="002A7D65">
        <w:rPr>
          <w:rFonts w:asciiTheme="minorHAnsi" w:hAnsiTheme="minorHAnsi" w:cstheme="minorBidi"/>
          <w:sz w:val="24"/>
        </w:rPr>
        <w:t xml:space="preserve"> misijas un veicina to daudzveidību;</w:t>
      </w:r>
    </w:p>
    <w:p w14:paraId="04CE0960" w14:textId="68C8BCE5" w:rsidR="00B80382" w:rsidRPr="002A7D65" w:rsidRDefault="00B80382" w:rsidP="00B80382">
      <w:pPr>
        <w:pStyle w:val="ListParagraph"/>
        <w:numPr>
          <w:ilvl w:val="0"/>
          <w:numId w:val="3"/>
        </w:numPr>
        <w:rPr>
          <w:rFonts w:asciiTheme="minorHAnsi" w:hAnsiTheme="minorHAnsi" w:cstheme="minorBidi"/>
          <w:sz w:val="24"/>
        </w:rPr>
      </w:pPr>
      <w:r w:rsidRPr="002A7D65">
        <w:rPr>
          <w:rFonts w:asciiTheme="minorHAnsi" w:hAnsiTheme="minorHAnsi" w:cstheme="minorBidi"/>
          <w:sz w:val="24"/>
        </w:rPr>
        <w:t xml:space="preserve">ņem vērā </w:t>
      </w:r>
      <w:r w:rsidR="00D56649">
        <w:rPr>
          <w:rFonts w:asciiTheme="minorHAnsi" w:hAnsiTheme="minorHAnsi" w:cstheme="minorBidi"/>
          <w:sz w:val="24"/>
        </w:rPr>
        <w:t>AII</w:t>
      </w:r>
      <w:r w:rsidRPr="002A7D65">
        <w:rPr>
          <w:rFonts w:asciiTheme="minorHAnsi" w:hAnsiTheme="minorHAnsi" w:cstheme="minorBidi"/>
          <w:sz w:val="24"/>
        </w:rPr>
        <w:t xml:space="preserve"> izejas pozīcijas snieguma vērtēšanā;</w:t>
      </w:r>
    </w:p>
    <w:p w14:paraId="6F4A6C5C" w14:textId="77777777" w:rsidR="00B80382" w:rsidRPr="002A7D65" w:rsidRDefault="00B80382" w:rsidP="00B80382">
      <w:pPr>
        <w:pStyle w:val="ListParagraph"/>
        <w:numPr>
          <w:ilvl w:val="0"/>
          <w:numId w:val="3"/>
        </w:numPr>
        <w:rPr>
          <w:rFonts w:asciiTheme="minorHAnsi" w:hAnsiTheme="minorHAnsi" w:cstheme="minorBidi"/>
          <w:sz w:val="24"/>
        </w:rPr>
      </w:pPr>
      <w:r w:rsidRPr="002A7D65">
        <w:rPr>
          <w:rFonts w:asciiTheme="minorHAnsi" w:hAnsiTheme="minorHAnsi" w:cstheme="minorBidi"/>
          <w:sz w:val="24"/>
        </w:rPr>
        <w:t>nošķir kvalitāti un ražīgumu/produktivitāti;</w:t>
      </w:r>
    </w:p>
    <w:p w14:paraId="152BEB83" w14:textId="77777777" w:rsidR="00B80382" w:rsidRPr="002A7D65" w:rsidRDefault="00B80382" w:rsidP="00B80382">
      <w:pPr>
        <w:pStyle w:val="ListParagraph"/>
        <w:numPr>
          <w:ilvl w:val="0"/>
          <w:numId w:val="3"/>
        </w:numPr>
        <w:rPr>
          <w:rFonts w:asciiTheme="minorHAnsi" w:hAnsiTheme="minorHAnsi" w:cstheme="minorBidi"/>
          <w:sz w:val="24"/>
        </w:rPr>
      </w:pPr>
      <w:r w:rsidRPr="002A7D65">
        <w:rPr>
          <w:rFonts w:asciiTheme="minorHAnsi" w:hAnsiTheme="minorHAnsi" w:cstheme="minorBidi"/>
          <w:sz w:val="24"/>
        </w:rPr>
        <w:t>sniedz informāciju pašām augstākās izglītības iestādēm un ļauj tām uzlabot savu darbību;</w:t>
      </w:r>
    </w:p>
    <w:p w14:paraId="50F6ABF9" w14:textId="77777777" w:rsidR="00B80382" w:rsidRPr="002A7D65" w:rsidRDefault="00B80382" w:rsidP="00B80382">
      <w:pPr>
        <w:pStyle w:val="ListParagraph"/>
        <w:numPr>
          <w:ilvl w:val="0"/>
          <w:numId w:val="3"/>
        </w:numPr>
        <w:rPr>
          <w:rFonts w:asciiTheme="minorHAnsi" w:hAnsiTheme="minorHAnsi" w:cstheme="minorBidi"/>
          <w:sz w:val="24"/>
        </w:rPr>
      </w:pPr>
      <w:r w:rsidRPr="002A7D65">
        <w:rPr>
          <w:rFonts w:asciiTheme="minorHAnsi" w:hAnsiTheme="minorHAnsi" w:cstheme="minorBidi"/>
          <w:sz w:val="24"/>
        </w:rPr>
        <w:t>veicina eksperimentēšanu un fundamentāli jaunas darbības;</w:t>
      </w:r>
    </w:p>
    <w:p w14:paraId="22304FD1" w14:textId="5161E581" w:rsidR="00B80382" w:rsidRPr="002A7D65" w:rsidRDefault="00B80382" w:rsidP="00B80382">
      <w:pPr>
        <w:pStyle w:val="ListParagraph"/>
        <w:numPr>
          <w:ilvl w:val="0"/>
          <w:numId w:val="3"/>
        </w:numPr>
        <w:rPr>
          <w:rFonts w:asciiTheme="minorHAnsi" w:hAnsiTheme="minorHAnsi" w:cstheme="minorBidi"/>
          <w:sz w:val="24"/>
        </w:rPr>
      </w:pPr>
      <w:r w:rsidRPr="002A7D65">
        <w:rPr>
          <w:rFonts w:asciiTheme="minorHAnsi" w:hAnsiTheme="minorHAnsi" w:cstheme="minorBidi"/>
          <w:sz w:val="24"/>
        </w:rPr>
        <w:t xml:space="preserve">veicina sadarbību gan starp </w:t>
      </w:r>
      <w:r w:rsidR="00D56649">
        <w:rPr>
          <w:rFonts w:asciiTheme="minorHAnsi" w:hAnsiTheme="minorHAnsi" w:cstheme="minorBidi"/>
          <w:sz w:val="24"/>
        </w:rPr>
        <w:t>AII</w:t>
      </w:r>
      <w:r w:rsidRPr="002A7D65">
        <w:rPr>
          <w:rFonts w:asciiTheme="minorHAnsi" w:hAnsiTheme="minorHAnsi" w:cstheme="minorBidi"/>
          <w:sz w:val="24"/>
        </w:rPr>
        <w:t>, gan ar citām iesaistītām pusēm.</w:t>
      </w:r>
      <w:r w:rsidRPr="002A7D65">
        <w:rPr>
          <w:rStyle w:val="FootnoteReference"/>
          <w:rFonts w:asciiTheme="minorHAnsi" w:hAnsiTheme="minorHAnsi" w:cstheme="minorBidi"/>
        </w:rPr>
        <w:footnoteReference w:id="15"/>
      </w:r>
    </w:p>
    <w:p w14:paraId="3272CF08" w14:textId="77777777" w:rsidR="00B80382" w:rsidRPr="002A7D65" w:rsidRDefault="00B80382" w:rsidP="00B80382"/>
    <w:p w14:paraId="797D3208" w14:textId="77777777" w:rsidR="00B80382" w:rsidRPr="002A7D65" w:rsidRDefault="00B80382" w:rsidP="00B80382">
      <w:r w:rsidRPr="002A7D65">
        <w:t>Gan Eiropā</w:t>
      </w:r>
      <w:r w:rsidRPr="002A7D65">
        <w:rPr>
          <w:rStyle w:val="FootnoteReference"/>
        </w:rPr>
        <w:footnoteReference w:id="16"/>
      </w:r>
      <w:r w:rsidRPr="002A7D65">
        <w:t>, gan ASV</w:t>
      </w:r>
      <w:r w:rsidRPr="002A7D65">
        <w:rPr>
          <w:rStyle w:val="FootnoteReference"/>
        </w:rPr>
        <w:footnoteReference w:id="17"/>
      </w:r>
      <w:r w:rsidRPr="002A7D65">
        <w:t xml:space="preserve"> aizvien vairāk finansēšanas sistēmas ņem vērā to augstākās izglītības iestāžu misiju daudzveidību. Tā, piemēram, lietišķo zinātņu augstskolai misija un institucionālie mērķi var būtiski atšķirties no zinātnes universitātēs. Ņemot vērā Saeimas pieņemto institucionālo tipoloģiju, kas paredz dažādas augstskolu misijas, gan arī pārvaldības reformu, kas sniegs augstskolām kapacitāti jaunu vīziju izveidē, ir būtiski, ka finansēšanas sistēma atbalsta šo ekosistēmas attīstību un veicina to.</w:t>
      </w:r>
    </w:p>
    <w:p w14:paraId="2766EAED" w14:textId="3C1189E9" w:rsidR="00B80382" w:rsidRPr="002A7D65" w:rsidRDefault="00B80382" w:rsidP="00B80382">
      <w:r w:rsidRPr="002A7D65">
        <w:t>Tāpat arī aizvien plašāk tiek izmantoti snieguma līgumi, kas tiek noslēgti starp finansējuma devēju un augstākās izglītības iestādi un paredz konkrētu iestāžu rīcību apmaiņā pret finansējumu</w:t>
      </w:r>
      <w:r w:rsidRPr="002A7D65">
        <w:rPr>
          <w:rStyle w:val="FootnoteReference"/>
        </w:rPr>
        <w:footnoteReference w:id="18"/>
      </w:r>
      <w:r w:rsidRPr="002A7D65">
        <w:t>. Šādi līgumi tiek izmantoti, lai veicinātu iestāžu eksperimentēšanu un jaunu darbības virzienu attīstību. Piemēram, jaunu studiju piedāvājumu attīstība, ciešāka sasaiste ar savu reģionu, vai arī lai veicinātu starptautiski atzītu izcilību</w:t>
      </w:r>
      <w:r w:rsidRPr="002A7D65">
        <w:rPr>
          <w:rStyle w:val="FootnoteReference"/>
        </w:rPr>
        <w:footnoteReference w:id="19"/>
      </w:r>
      <w:r w:rsidRPr="002A7D65">
        <w:t xml:space="preserve">. </w:t>
      </w:r>
    </w:p>
    <w:p w14:paraId="324F3D19" w14:textId="77777777" w:rsidR="00B80382" w:rsidRPr="002A7D65" w:rsidRDefault="00B80382" w:rsidP="00B80382">
      <w:r w:rsidRPr="002A7D65">
        <w:t xml:space="preserve">Tāpat arī vairākas valstis piesaista papildus resursu augstākajai izglītībai ne tikai no valsts, bet arī no privātā sektora un mājsaimniecībām. Šāda pieeja ļauj veidot stabilāku augstākās izglītības sistēmu situācijā, kad ir nepietiekams valsts finansējums. Latvijas augstākās izglītības sistēma arī iekļaujas šajā tendencē, būdama valsts ar trešo lielāko privātā finansējuma īpatsvaru augstākās izglītības finansējumā starp Eiropas OECD valstīm. </w:t>
      </w:r>
    </w:p>
    <w:p w14:paraId="0A8FA1C4" w14:textId="77777777" w:rsidR="001C6FB9" w:rsidRPr="002A7D65" w:rsidRDefault="001C6FB9" w:rsidP="00B80382"/>
    <w:p w14:paraId="24E7A7FF" w14:textId="6894F92D" w:rsidR="00B80382" w:rsidRPr="002A7D65" w:rsidRDefault="00B80382" w:rsidP="00B80382">
      <w:pPr>
        <w:pStyle w:val="ListParagraph"/>
        <w:rPr>
          <w:i/>
          <w:iCs/>
          <w:lang w:eastAsia="ru-RU"/>
        </w:rPr>
      </w:pPr>
    </w:p>
    <w:p w14:paraId="6624B927" w14:textId="68BABFE3" w:rsidR="00B80382" w:rsidRPr="002A7D65" w:rsidRDefault="00C94853" w:rsidP="00C94853">
      <w:pPr>
        <w:ind w:left="360" w:firstLine="0"/>
        <w:jc w:val="right"/>
        <w:rPr>
          <w:lang w:eastAsia="ru-RU"/>
        </w:rPr>
      </w:pPr>
      <w:r>
        <w:t xml:space="preserve">6. </w:t>
      </w:r>
      <w:r w:rsidR="00B80382" w:rsidRPr="00C94853">
        <w:t>attēls: Publisko un privāto izdevumu sadalījums augstākajai izglītībai, %, 2018</w:t>
      </w:r>
      <w:r w:rsidR="00B80382" w:rsidRPr="002A7D65">
        <w:rPr>
          <w:rStyle w:val="FootnoteReference"/>
          <w:lang w:eastAsia="ru-RU"/>
        </w:rPr>
        <w:footnoteReference w:id="20"/>
      </w:r>
    </w:p>
    <w:p w14:paraId="29DFED01" w14:textId="20B5E4CD" w:rsidR="00B80382" w:rsidRPr="002A7D65" w:rsidRDefault="00B80382" w:rsidP="00B80382">
      <w:pPr>
        <w:jc w:val="center"/>
      </w:pPr>
    </w:p>
    <w:p w14:paraId="0E93FF0E" w14:textId="2738D151" w:rsidR="00B80382" w:rsidRPr="002A7D65" w:rsidRDefault="00B80382" w:rsidP="00B80382"/>
    <w:p w14:paraId="5EAC7EB2" w14:textId="3252295F" w:rsidR="00B80382" w:rsidRPr="002A7D65" w:rsidRDefault="001C6FB9" w:rsidP="00B80382">
      <w:r w:rsidRPr="002A7D65">
        <w:rPr>
          <w:noProof/>
        </w:rPr>
        <w:drawing>
          <wp:anchor distT="0" distB="0" distL="114300" distR="114300" simplePos="0" relativeHeight="251660288" behindDoc="0" locked="0" layoutInCell="1" allowOverlap="1" wp14:anchorId="4514B59E" wp14:editId="04586CC6">
            <wp:simplePos x="0" y="0"/>
            <wp:positionH relativeFrom="margin">
              <wp:align>right</wp:align>
            </wp:positionH>
            <wp:positionV relativeFrom="page">
              <wp:posOffset>1339638</wp:posOffset>
            </wp:positionV>
            <wp:extent cx="5585460" cy="2909570"/>
            <wp:effectExtent l="0" t="0" r="0" b="5080"/>
            <wp:wrapTopAndBottom/>
            <wp:docPr id="10" name="Picture 10" descr="A picture containing text, screenshot, font,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screenshot, font, graphic design&#10;&#10;Description automatically generated"/>
                    <pic:cNvPicPr/>
                  </pic:nvPicPr>
                  <pic:blipFill rotWithShape="1">
                    <a:blip r:embed="rId13">
                      <a:extLst>
                        <a:ext uri="{28A0092B-C50C-407E-A947-70E740481C1C}">
                          <a14:useLocalDpi xmlns:a14="http://schemas.microsoft.com/office/drawing/2010/main" val="0"/>
                        </a:ext>
                      </a:extLst>
                    </a:blip>
                    <a:srcRect b="3296"/>
                    <a:stretch/>
                  </pic:blipFill>
                  <pic:spPr bwMode="auto">
                    <a:xfrm>
                      <a:off x="0" y="0"/>
                      <a:ext cx="5585460" cy="29095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80382" w:rsidRPr="002A7D65">
        <w:t xml:space="preserve">Tomēr ir būtiski norādīt, ka sistēmas līmeņa finansējums nesadalās tādā pašā proporcijā pa augstākās izglītības iestādēm. Piemēram, Eiropas visekstrēmākajā privātā finansējuma apmēra gadījumā, Anglijā, vidēji augstākās izglītības iestāde gandrīz pusi no sava finansējuma </w:t>
      </w:r>
      <w:r w:rsidR="00D32D1B" w:rsidRPr="002A7D65">
        <w:t xml:space="preserve">joprojām </w:t>
      </w:r>
      <w:r w:rsidR="00B80382" w:rsidRPr="002A7D65">
        <w:t>saņem no valsts. Iemesls šādai atšķirībai varētu būt tajā, ka pastāv salīdzinoši mazs skaits ar lielām iestādēm, kuras darbojas balstoties gandrīz tikai uz privāto finansējumu.</w:t>
      </w:r>
    </w:p>
    <w:p w14:paraId="099502DB" w14:textId="37CE4601" w:rsidR="00B80382" w:rsidRPr="002A7D65" w:rsidRDefault="00B80382" w:rsidP="0017231B">
      <w:r w:rsidRPr="002A7D65">
        <w:t>Šobrīd gan vērtējot pēc augstākās izglītības finansējuma kā īpatsvara no valsts iekšzemes kopprodukta, Latvija ir pēdējā vietā Baltijas un Ziemeļvalstu reģionā, un salīdzinot ar Igauniju, kur ir pilnībā valsts dotētā augstākā izglītība, Latvijā ir zemāks gan valsts, gan privāto līdzekļu ieguldījums augstākajā izglītībā kā īpatsvars no iekšzemes kopprodukta. Viens no šī ziņojuma mērķiem ir risināt nepietiekamo gan valsts, gan mājsaimniecību un privātā finansējuma apjomu.</w:t>
      </w:r>
    </w:p>
    <w:p w14:paraId="349B325F" w14:textId="77777777" w:rsidR="00B80382" w:rsidRPr="002A7D65" w:rsidRDefault="00B80382" w:rsidP="00B80382">
      <w:r w:rsidRPr="002A7D65">
        <w:t>Ņemot vērā esošo nepietiekamo augstākās izglītības finansējumu, jēgpilna pāreja uz pilnībā valsts dotēto izglītību nebūs iespējama, ja netiks nodrošināts būtisks valsts resursu ieguldījumu pieaugums</w:t>
      </w:r>
      <w:r w:rsidRPr="002A7D65">
        <w:rPr>
          <w:rStyle w:val="FootnoteReference"/>
        </w:rPr>
        <w:footnoteReference w:id="21"/>
      </w:r>
      <w:r w:rsidRPr="002A7D65">
        <w:t>. Pie nepietiekama finansējuma, valsts dotēta augstākā izglītība var kļūt par nevienlīdzības veicinātāju un resursu trūkuma dēļ stagnēt.</w:t>
      </w:r>
    </w:p>
    <w:p w14:paraId="40E843CC" w14:textId="77777777" w:rsidR="00B80382" w:rsidRPr="002A7D65" w:rsidRDefault="00B80382" w:rsidP="00B80382"/>
    <w:p w14:paraId="1EC409AC" w14:textId="43B3481B" w:rsidR="00AC3BDA" w:rsidRPr="002A7D65" w:rsidRDefault="00B80382" w:rsidP="0017231B">
      <w:r w:rsidRPr="002A7D65">
        <w:t xml:space="preserve">Tomēr arī tajās valstīs, kur studējošais maksā ievērojamu studiju maksu, aizvien biežāk tiek aktualizēts jautājums par to, ka studiju maksas nav spējīgas nosegt visas institucionālās izmaksas, pat ja ir attīstīta ziedotāju kultūra, kas sniedz miljonu ziedojumus katru gadu, kā tas ir ASV. Piemēram, Anglijas universitātes 2022. gadā jau ir paziņojušas, ka </w:t>
      </w:r>
      <w:r w:rsidRPr="002A7D65">
        <w:lastRenderedPageBreak/>
        <w:t>tās zaudē naudu uz katru uzņemto vietējo studējošo un apsver samazināt vietējo uzņemto studējošo skaitu par labu starptautiskajiem studentiem</w:t>
      </w:r>
      <w:r w:rsidRPr="002A7D65">
        <w:rPr>
          <w:rStyle w:val="FootnoteReference"/>
        </w:rPr>
        <w:footnoteReference w:id="22"/>
      </w:r>
      <w:r w:rsidRPr="002A7D65">
        <w:t xml:space="preserve">.  </w:t>
      </w:r>
    </w:p>
    <w:p w14:paraId="4D4FA647" w14:textId="29FB2ED1" w:rsidR="002C694C" w:rsidRPr="002A7D65" w:rsidRDefault="00B80382" w:rsidP="002C694C">
      <w:r w:rsidRPr="002A7D65">
        <w:t>Ņemot vērā abu pieeju vājās un stiprās puses, izskan pētnieku priekšlikumi veidot sistēmu, kuras ietvaros tiktu izmantotas abu sistēmu stiprās puses</w:t>
      </w:r>
      <w:r w:rsidR="004001E9" w:rsidRPr="002A7D65">
        <w:t>, kas būtu balstīta izmaksu sadalījumā starp studējošo un valsti, jeb līdzmaksājumā</w:t>
      </w:r>
      <w:r w:rsidRPr="002A7D65">
        <w:rPr>
          <w:rStyle w:val="FootnoteReference"/>
        </w:rPr>
        <w:footnoteReference w:id="23"/>
      </w:r>
      <w:r w:rsidR="004001E9" w:rsidRPr="002A7D65">
        <w:t>.</w:t>
      </w:r>
      <w:r w:rsidRPr="002A7D65">
        <w:t xml:space="preserve"> </w:t>
      </w:r>
      <w:r w:rsidR="00AF028E" w:rsidRPr="002A7D65">
        <w:t xml:space="preserve">Tomēr līdzmaksājuma ieviešana visās augstākās izglītības iestādēs neņemtu vērā līdzšinējo iestāžu </w:t>
      </w:r>
      <w:r w:rsidR="00A62896" w:rsidRPr="002A7D65">
        <w:t xml:space="preserve">daudzveidību, kur </w:t>
      </w:r>
      <w:r w:rsidR="003E229E" w:rsidRPr="002A7D65">
        <w:t>nevar būt viens risinājums visiem.</w:t>
      </w:r>
      <w:r w:rsidR="004001E9" w:rsidRPr="002A7D65">
        <w:t xml:space="preserve"> Tādēļ ir nepieciešams veidot sistēmu, kuras ietvaros</w:t>
      </w:r>
      <w:r w:rsidR="004523A7" w:rsidRPr="002A7D65">
        <w:t xml:space="preserve"> valsts finansē iestādes atbilstoši to sniegumam</w:t>
      </w:r>
      <w:r w:rsidR="004001E9" w:rsidRPr="002A7D65">
        <w:t xml:space="preserve"> katra iestāde</w:t>
      </w:r>
      <w:r w:rsidR="00AA1EF8" w:rsidRPr="002A7D65">
        <w:t xml:space="preserve"> nosaka</w:t>
      </w:r>
      <w:r w:rsidR="004001E9" w:rsidRPr="002A7D65">
        <w:t xml:space="preserve"> to, cik daudz un kādā mērā tā nodrošinās maksas, līdzmaksājuma un bezmaksas studiju vietas</w:t>
      </w:r>
      <w:r w:rsidR="002C694C" w:rsidRPr="002A7D65">
        <w:t xml:space="preserve">. </w:t>
      </w:r>
    </w:p>
    <w:p w14:paraId="68FBC125" w14:textId="4FE214D7" w:rsidR="00B80382" w:rsidRPr="002A7D65" w:rsidRDefault="002C694C" w:rsidP="002C694C">
      <w:r w:rsidRPr="002A7D65">
        <w:t>Institucionālā finansējuma ieviešanas mērķis ir nodrošināt šādu brīvību iestādēm operēt un efektīvi izmantot savus finanšu resursus,</w:t>
      </w:r>
      <w:r w:rsidR="000543D7" w:rsidRPr="002A7D65">
        <w:t xml:space="preserve"> tādā veidā</w:t>
      </w:r>
      <w:r w:rsidRPr="002A7D65">
        <w:t xml:space="preserve"> </w:t>
      </w:r>
      <w:r w:rsidR="00405FCB" w:rsidRPr="002A7D65">
        <w:t xml:space="preserve">pārvirzot finansēšanas sistēmas uzsvaru no procesa uz rezultātu. </w:t>
      </w:r>
      <w:r w:rsidR="007F7BE7" w:rsidRPr="002A7D65">
        <w:t>Vienlaikus</w:t>
      </w:r>
      <w:r w:rsidR="00A507FE" w:rsidRPr="002A7D65">
        <w:t xml:space="preserve"> arī tas ļaus valstij aktīvāk pievērsties studējošo atbalstam, </w:t>
      </w:r>
      <w:r w:rsidR="00DE340F" w:rsidRPr="002A7D65">
        <w:t xml:space="preserve">kā daļu no finansēšanas sistēmas paredzot sociālās, akadēmiskās un </w:t>
      </w:r>
      <w:r w:rsidR="009B0562" w:rsidRPr="002A7D65">
        <w:t xml:space="preserve">noteiktu studiju jomu </w:t>
      </w:r>
      <w:r w:rsidR="00DE340F" w:rsidRPr="002A7D65">
        <w:t>stipendijas, kas ļaus tiešā veidā sniegt atbalstu studējošajiem no maznodrošinātām sabiedrības grupām, izcilībām, vai kas izvēlēsies valstī būtiski pieprasītas studiju jomas.</w:t>
      </w:r>
    </w:p>
    <w:p w14:paraId="640B7DC0" w14:textId="00E2BA5D" w:rsidR="00B80382" w:rsidRPr="002A7D65" w:rsidRDefault="00B80382" w:rsidP="00AC3BDA">
      <w:pPr>
        <w:spacing w:after="160"/>
        <w:ind w:firstLine="0"/>
      </w:pPr>
      <w:r w:rsidRPr="002A7D65">
        <w:br w:type="page"/>
      </w:r>
    </w:p>
    <w:p w14:paraId="766BC983" w14:textId="7B023A6E" w:rsidR="00B80382" w:rsidRPr="002A7D65" w:rsidRDefault="00B80382" w:rsidP="002A64CD">
      <w:pPr>
        <w:pStyle w:val="Heading1"/>
      </w:pPr>
      <w:bookmarkStart w:id="14" w:name="_Toc108618663"/>
      <w:bookmarkStart w:id="15" w:name="_Toc167452320"/>
      <w:r w:rsidRPr="002A7D65">
        <w:lastRenderedPageBreak/>
        <w:t>Aktualizētais augstākās izglītības finansēšanas modelis</w:t>
      </w:r>
      <w:bookmarkEnd w:id="14"/>
      <w:bookmarkEnd w:id="15"/>
    </w:p>
    <w:p w14:paraId="701A78B2" w14:textId="77777777" w:rsidR="008A71EB" w:rsidRPr="002A7D65" w:rsidRDefault="002A64CD" w:rsidP="009E64C3">
      <w:r w:rsidRPr="002A7D65">
        <w:t>I</w:t>
      </w:r>
      <w:r w:rsidR="00B80382" w:rsidRPr="002A7D65">
        <w:t>r nepieciešams veikt izmaiņas augstākās izglītības finansēšanas modelī. Viens no nozīmīgākajiem izaicinājumiem ir nepietiekamais</w:t>
      </w:r>
      <w:r w:rsidR="00A61D11" w:rsidRPr="002A7D65">
        <w:t xml:space="preserve"> finansējuma apmērs un tā ārkārtīga neelastība</w:t>
      </w:r>
      <w:r w:rsidR="00B80382" w:rsidRPr="002A7D65">
        <w:t>. Salīdzinot a citu valstu augstākās izglītības finansējumu</w:t>
      </w:r>
      <w:r w:rsidR="00B80382" w:rsidRPr="002A7D65">
        <w:rPr>
          <w:rStyle w:val="FootnoteReference"/>
        </w:rPr>
        <w:footnoteReference w:id="24"/>
      </w:r>
      <w:r w:rsidR="00B80382" w:rsidRPr="002A7D65">
        <w:t>, esošais finansējuma apmērs būtiski iepaliek no vadošo pasaules universitāšu līmeņa un arī no vidējā ES un OECD valstu līmeņa, turklāt tas</w:t>
      </w:r>
      <w:r w:rsidR="00D81559" w:rsidRPr="002A7D65">
        <w:t xml:space="preserve"> tiek piešķirts atbilstoši procesam, nevis rezultātam</w:t>
      </w:r>
      <w:r w:rsidR="00550464" w:rsidRPr="002A7D65">
        <w:t>, nesedz reālās izmaksas</w:t>
      </w:r>
      <w:r w:rsidR="00B80382" w:rsidRPr="002A7D65">
        <w:t xml:space="preserve"> un nesatur attīstības komponenti. </w:t>
      </w:r>
    </w:p>
    <w:p w14:paraId="2FE3414C" w14:textId="77777777" w:rsidR="00311286" w:rsidRPr="002A7D65" w:rsidRDefault="00311286" w:rsidP="00311286">
      <w:r w:rsidRPr="002A7D65">
        <w:t xml:space="preserve">Lai veicinātu augstākās izglītības kvalitāti, attīstību un pieejamību, tiek piedāvāt veikts izmaiņas gan tajā, kā veidojas finanšu attiecības starp valsti un augstākās izglītības iestādēm, gan arī tajā, kā veidojas finanšu attiecības starp valsti un studējošajiem.  </w:t>
      </w:r>
    </w:p>
    <w:p w14:paraId="259010DE" w14:textId="77777777" w:rsidR="00AE0C70" w:rsidRPr="002A7D65" w:rsidRDefault="00AE0C70" w:rsidP="00311286"/>
    <w:p w14:paraId="1C0611BD" w14:textId="3E57E298" w:rsidR="00311286" w:rsidRPr="002A7D65" w:rsidRDefault="00FA7161" w:rsidP="00491B9A">
      <w:pPr>
        <w:pStyle w:val="Heading4"/>
      </w:pPr>
      <w:r w:rsidRPr="002A7D65">
        <w:t>Valsts un augstākās izglītības iestādes</w:t>
      </w:r>
    </w:p>
    <w:p w14:paraId="4C50A301" w14:textId="1B5A8981" w:rsidR="00D62DCB" w:rsidRPr="002A7D65" w:rsidRDefault="00B80382" w:rsidP="00D82309">
      <w:r w:rsidRPr="002A7D65">
        <w:t>Neatbilstību aktuālām izmaksām identificēja tai skaitā ministrijas uzdevumā veiktais A/S KPMG Baltics pētījums par studiju vietas bāzes izmaksām</w:t>
      </w:r>
      <w:r w:rsidR="009B0562" w:rsidRPr="002A7D65">
        <w:t>, kas tika balstīts uz 2019., 2020. un 2021.gadu faktiskām izmaksām</w:t>
      </w:r>
      <w:r w:rsidRPr="002A7D65">
        <w:t>.</w:t>
      </w:r>
      <w:r w:rsidR="008A71EB" w:rsidRPr="002A7D65">
        <w:t xml:space="preserve"> Finansējumu uz studējošo ir plānots celt, sniedzot lielāku brīvību augstākās izglītības iestādēm </w:t>
      </w:r>
      <w:r w:rsidR="00816AC0" w:rsidRPr="002A7D65">
        <w:t xml:space="preserve">izmantot finansējumu savu mērķu sasniegšanai, tostarp savietojot finansējumu no dažādām finanšu plūsmām. </w:t>
      </w:r>
      <w:r w:rsidR="00D82309" w:rsidRPr="002A7D65">
        <w:t>Lai šo panāktu, ir nepieciešams mainīt finansēšanas pieeju</w:t>
      </w:r>
      <w:r w:rsidRPr="002A7D65">
        <w:t>, lai ieviestu politikas mērķiem atbilstošus stimulus, jāievieš jaunus principus</w:t>
      </w:r>
      <w:r w:rsidR="00E02A11" w:rsidRPr="002A7D65">
        <w:t>,</w:t>
      </w:r>
      <w:r w:rsidR="00813B6E" w:rsidRPr="002A7D65">
        <w:t xml:space="preserve"> kā tiek finansētas augstākās izglītības iestādes, kas balstās to sniegumā </w:t>
      </w:r>
      <w:r w:rsidR="00AC3CDE" w:rsidRPr="002A7D65">
        <w:t>un kas dod iestādēm brīvību sasniegt savus mērķus</w:t>
      </w:r>
      <w:r w:rsidRPr="002A7D65">
        <w:t xml:space="preserve">. </w:t>
      </w:r>
    </w:p>
    <w:p w14:paraId="42DD8CCC" w14:textId="64C6DBA1" w:rsidR="00D62DCB" w:rsidRPr="002A7D65" w:rsidRDefault="00D62CB2" w:rsidP="00D62DCB">
      <w:r w:rsidRPr="002A7D65">
        <w:t>Veidojot izmaksu sadalījumu starp valsti, studējošo un darba devēju, pastāv tādi varianti kā sistēma ar budžeta un maksas vietām, pilnībā valsts dotētā augstākā izglītība, sistēma ar studējošā vai darba devēja līdzmaksājumu, un katrai no tām ir savas priekšrocības un trūkumi, kā aprakstīts iepriekšējā ziņojuma daļā. Balstoties uz diskusijām ar nozari, kā optimālais risinājums tiek piedāvāts institucionālā finansējuma ieviešana, kas ļautu katrai augstākās izglītības iestādei veidot savai misijai, ambīcijām, lomai un resursiem atbilstošu finansēšanas sistēmu – iestādei pašai lemjot par bezmaksas, maksas un līdzmaksājuma vietu skaitu. Vienlaikus ministrija piedāvā stiprināt sociālo dimensiju augstākajā izglītībā un vadīt studējošo izvēli caur stipendiju sistēmas attīstību un pilnveidi.</w:t>
      </w:r>
    </w:p>
    <w:p w14:paraId="1C976AB7" w14:textId="77777777" w:rsidR="00AE0C70" w:rsidRPr="002A7D65" w:rsidRDefault="00AE0C70" w:rsidP="00D62DCB"/>
    <w:p w14:paraId="486F4301" w14:textId="77777777" w:rsidR="00D62DCB" w:rsidRPr="002A7D65" w:rsidRDefault="00D62DCB" w:rsidP="00491B9A">
      <w:pPr>
        <w:pStyle w:val="Heading4"/>
      </w:pPr>
      <w:r w:rsidRPr="002A7D65">
        <w:t>Valsts un studējošie</w:t>
      </w:r>
    </w:p>
    <w:p w14:paraId="2C78C7DA" w14:textId="77777777" w:rsidR="00ED3D62" w:rsidRPr="002A7D65" w:rsidRDefault="00C65E06" w:rsidP="00D62DCB">
      <w:r w:rsidRPr="002A7D65">
        <w:t xml:space="preserve">Piedāvātā virzība uz plašāku augstākās izglītības iestāžu autonomiju </w:t>
      </w:r>
      <w:r w:rsidR="005B24C1" w:rsidRPr="002A7D65">
        <w:t>nozīmēs arī to, ka valstij ir jānodrošina iespējas veidot plašāku studējošo finansiālo atbalstu. Līdz šim budžeta viet</w:t>
      </w:r>
      <w:r w:rsidR="00573661" w:rsidRPr="002A7D65">
        <w:t>u viens no mērķiem bija arī augstākās izglītības pieejamības veicināšan</w:t>
      </w:r>
      <w:r w:rsidR="00963A56" w:rsidRPr="002A7D65">
        <w:t xml:space="preserve">a caur noteikta vietu skaita pasūtīšanu </w:t>
      </w:r>
      <w:r w:rsidR="00047388" w:rsidRPr="002A7D65">
        <w:t>iepriekš nozīmētās programmās.</w:t>
      </w:r>
      <w:r w:rsidR="002F440B" w:rsidRPr="002A7D65">
        <w:t xml:space="preserve"> Šāda pieeja</w:t>
      </w:r>
      <w:r w:rsidR="00420BAA" w:rsidRPr="002A7D65">
        <w:t xml:space="preserve">  rada neefektīvu finanšu izlietojumu, ja ir nepietiekams valsts finansējums vai nepietiekams pieprasījums pēc studijām valsts budžeta finansētās vietās.</w:t>
      </w:r>
      <w:r w:rsidR="00047388" w:rsidRPr="002A7D65">
        <w:t xml:space="preserve"> </w:t>
      </w:r>
    </w:p>
    <w:p w14:paraId="34453A2C" w14:textId="21AE0815" w:rsidR="00FA7161" w:rsidRPr="002A7D65" w:rsidRDefault="002F440B" w:rsidP="00D62DCB">
      <w:r w:rsidRPr="002A7D65">
        <w:t xml:space="preserve">Institucionālās finansēšanas sistēmā </w:t>
      </w:r>
      <w:r w:rsidR="00420BAA" w:rsidRPr="002A7D65">
        <w:t xml:space="preserve">iestādēm būs iespēja nodrošināt adekvātu finansējumu uz vienu studējošo, </w:t>
      </w:r>
      <w:r w:rsidR="00DF1621" w:rsidRPr="002A7D65">
        <w:t xml:space="preserve">bet valstij būs nepieciešams aktīvāk iesaistīties studējošo </w:t>
      </w:r>
      <w:r w:rsidR="00DF1621" w:rsidRPr="002A7D65">
        <w:lastRenderedPageBreak/>
        <w:t>tiešā finansēšanā, lai nodrošinātu pieprasījumu pēc studijām valstij aktuālās studiju jomās</w:t>
      </w:r>
      <w:r w:rsidR="00D05D37" w:rsidRPr="002A7D65">
        <w:t xml:space="preserve"> un no studējošajiem no sabiedrības grupām, kas citādi nebūtu spējīgas atļauties studēt.</w:t>
      </w:r>
    </w:p>
    <w:p w14:paraId="2E85496B" w14:textId="4E5A7825" w:rsidR="00D05D37" w:rsidRPr="002A7D65" w:rsidRDefault="003A1E3D" w:rsidP="00D62DCB">
      <w:r w:rsidRPr="002A7D65">
        <w:t>Tieša studējošo finansēšana arī rada iespējas veidot efektīvāku un mērķētāku studējošo atbalstu, jo tā nodrošina iespēju</w:t>
      </w:r>
      <w:r w:rsidR="002B44F2" w:rsidRPr="002A7D65">
        <w:t xml:space="preserve"> valstij finansējumu piešķirt uzreiz studējošajiem, bez papildu starpniekiem un kritērijiem. </w:t>
      </w:r>
      <w:r w:rsidR="00231F95" w:rsidRPr="002A7D65">
        <w:t>Kā potenciālie rīki, kas varētu tikt izmantoti studējošo finansēšanā, ir pēc dažādiem kritērijiem mērķētās stipendijas,.</w:t>
      </w:r>
      <w:r w:rsidR="002B44F2" w:rsidRPr="002A7D65">
        <w:t xml:space="preserve"> </w:t>
      </w:r>
    </w:p>
    <w:p w14:paraId="3EB3569B" w14:textId="77777777" w:rsidR="00DF1621" w:rsidRPr="002A7D65" w:rsidRDefault="00DF1621" w:rsidP="00D62DCB"/>
    <w:p w14:paraId="69E7F6A3" w14:textId="77777777" w:rsidR="00C90344" w:rsidRPr="002A7D65" w:rsidRDefault="00C90344" w:rsidP="00094D3E"/>
    <w:p w14:paraId="1E4F7F35" w14:textId="77777777" w:rsidR="005A5878" w:rsidRPr="00C94853" w:rsidRDefault="005A5878" w:rsidP="005A5878">
      <w:pPr>
        <w:pStyle w:val="ListParagraph"/>
        <w:jc w:val="right"/>
        <w:rPr>
          <w:rFonts w:asciiTheme="minorHAnsi" w:hAnsiTheme="minorHAnsi"/>
          <w:sz w:val="24"/>
        </w:rPr>
      </w:pPr>
      <w:r w:rsidRPr="00C94853">
        <w:rPr>
          <w:rFonts w:asciiTheme="minorHAnsi" w:hAnsiTheme="minorHAnsi"/>
          <w:sz w:val="24"/>
        </w:rPr>
        <w:t>7.attēls: Augstākās izglītības finansēšanas sistēma pēc reformas ieviešanas</w:t>
      </w:r>
    </w:p>
    <w:p w14:paraId="6ACFDFC8" w14:textId="77777777" w:rsidR="005A5878" w:rsidRPr="002A7D65" w:rsidRDefault="005A5878" w:rsidP="005A5878">
      <w:pPr>
        <w:rPr>
          <w:rFonts w:ascii="Calibri" w:eastAsia="Calibri" w:hAnsi="Calibri"/>
        </w:rPr>
      </w:pPr>
    </w:p>
    <w:p w14:paraId="43C8D918" w14:textId="77777777" w:rsidR="005A5878" w:rsidRPr="002A7D65" w:rsidRDefault="005A5878" w:rsidP="005A5878">
      <w:pPr>
        <w:rPr>
          <w:rFonts w:ascii="Calibri" w:eastAsia="Calibri" w:hAnsi="Calibri"/>
        </w:rPr>
      </w:pPr>
      <w:r w:rsidRPr="002A7D65">
        <w:rPr>
          <w:rFonts w:ascii="Arial Nova Cond" w:hAnsi="Arial Nova Cond"/>
          <w:noProof/>
        </w:rPr>
        <w:drawing>
          <wp:anchor distT="0" distB="0" distL="114300" distR="114300" simplePos="0" relativeHeight="251668480" behindDoc="0" locked="0" layoutInCell="1" allowOverlap="1" wp14:anchorId="0B3D34AE" wp14:editId="51B28D86">
            <wp:simplePos x="0" y="0"/>
            <wp:positionH relativeFrom="page">
              <wp:align>center</wp:align>
            </wp:positionH>
            <wp:positionV relativeFrom="paragraph">
              <wp:posOffset>233680</wp:posOffset>
            </wp:positionV>
            <wp:extent cx="4657090" cy="3409315"/>
            <wp:effectExtent l="0" t="0" r="0" b="635"/>
            <wp:wrapTopAndBottom/>
            <wp:docPr id="3377015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701531"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4657664" cy="340994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87683C" w14:textId="77777777" w:rsidR="00094D3E" w:rsidRPr="002A7D65" w:rsidRDefault="00094D3E" w:rsidP="00094D3E"/>
    <w:p w14:paraId="33E20B90" w14:textId="77777777" w:rsidR="00F0265B" w:rsidRPr="002A7D65" w:rsidRDefault="00F0265B" w:rsidP="004E2733">
      <w:pPr>
        <w:pStyle w:val="Heading2"/>
      </w:pPr>
      <w:bookmarkStart w:id="16" w:name="_Toc167452321"/>
      <w:r w:rsidRPr="002A7D65">
        <w:t>Augstākās izglītības iestāžu finansēšana</w:t>
      </w:r>
      <w:bookmarkEnd w:id="16"/>
    </w:p>
    <w:p w14:paraId="63D6219E" w14:textId="77777777" w:rsidR="00F0265B" w:rsidRPr="002A7D65" w:rsidRDefault="00F0265B" w:rsidP="00F0265B"/>
    <w:p w14:paraId="0D231109" w14:textId="5FD2B863" w:rsidR="009C58E7" w:rsidRPr="002A7D65" w:rsidRDefault="00F0265B" w:rsidP="004E2733">
      <w:pPr>
        <w:pStyle w:val="Heading3"/>
      </w:pPr>
      <w:bookmarkStart w:id="17" w:name="_Toc167452322"/>
      <w:r w:rsidRPr="002A7D65">
        <w:t>Institucionālais finansējums</w:t>
      </w:r>
      <w:r w:rsidR="00463AEA" w:rsidRPr="002A7D65">
        <w:t xml:space="preserve"> jeb bāzes finansējums</w:t>
      </w:r>
      <w:bookmarkEnd w:id="17"/>
    </w:p>
    <w:p w14:paraId="1AEDD6C3" w14:textId="6BB33B36" w:rsidR="002A4B40" w:rsidRPr="002A7D65" w:rsidRDefault="002A4B40" w:rsidP="00491B9A">
      <w:pPr>
        <w:pStyle w:val="Heading4"/>
      </w:pPr>
      <w:r w:rsidRPr="002A7D65">
        <w:t>Principi</w:t>
      </w:r>
    </w:p>
    <w:p w14:paraId="2193B9ED" w14:textId="34697235" w:rsidR="006139A4" w:rsidRPr="002A7D65" w:rsidRDefault="00BD3A3A" w:rsidP="002A4B40">
      <w:pPr>
        <w:rPr>
          <w:rFonts w:ascii="Calibri" w:eastAsia="Calibri" w:hAnsi="Calibri"/>
        </w:rPr>
      </w:pPr>
      <w:r w:rsidRPr="002A7D65">
        <w:rPr>
          <w:rFonts w:ascii="Calibri" w:eastAsia="Calibri" w:hAnsi="Calibri"/>
        </w:rPr>
        <w:t xml:space="preserve">Ministrija saredz institucionālo finansējumu kā pamatu augstākās izglītības finansēšanas sistēmas salāgošanai ar tautsaimniecības un sabiedrības vajadzībām, vienlaikus arī jēgpilni un produktīvi noregulējot iesaistīto pušu lomas. </w:t>
      </w:r>
      <w:r w:rsidR="00AF12DB">
        <w:rPr>
          <w:rFonts w:ascii="Calibri" w:eastAsia="Calibri" w:hAnsi="Calibri"/>
        </w:rPr>
        <w:t>Augstāk</w:t>
      </w:r>
      <w:r w:rsidR="00AF12DB" w:rsidRPr="002A7D65">
        <w:rPr>
          <w:rFonts w:ascii="Calibri" w:eastAsia="Calibri" w:hAnsi="Calibri"/>
        </w:rPr>
        <w:t xml:space="preserve"> </w:t>
      </w:r>
      <w:r w:rsidRPr="002A7D65">
        <w:rPr>
          <w:rFonts w:ascii="Calibri" w:eastAsia="Calibri" w:hAnsi="Calibri"/>
        </w:rPr>
        <w:t>esošais attēls ilustrē finansējuma plūsmu augstākajā izglītībā, kādu ministrija vēlētos izveidot. Tajā būtisku lomu spēlē gan institucionālais finansējums iestādēm, gan finansējums studējošajiem, gan arī iespēja iestādei veidot savu iekšējo studiju maksu, stipendiju un studiju maksu politiku, gan arī iespējas darba devējiem apmaksāt studiju maksa</w:t>
      </w:r>
      <w:r w:rsidR="00F57279">
        <w:rPr>
          <w:rFonts w:ascii="Calibri" w:eastAsia="Calibri" w:hAnsi="Calibri"/>
        </w:rPr>
        <w:t>s.</w:t>
      </w:r>
      <w:r w:rsidRPr="002A7D65">
        <w:rPr>
          <w:rFonts w:ascii="Calibri" w:eastAsia="Calibri" w:hAnsi="Calibri"/>
        </w:rPr>
        <w:t xml:space="preserve"> </w:t>
      </w:r>
    </w:p>
    <w:p w14:paraId="3B507D6F" w14:textId="2341EB84" w:rsidR="006139A4" w:rsidRPr="002A7D65" w:rsidRDefault="006139A4" w:rsidP="006139A4">
      <w:pPr>
        <w:rPr>
          <w:rFonts w:ascii="Calibri" w:eastAsia="Calibri" w:hAnsi="Calibri"/>
        </w:rPr>
      </w:pPr>
      <w:r w:rsidRPr="002A7D65">
        <w:rPr>
          <w:rFonts w:ascii="Calibri" w:eastAsia="Calibri" w:hAnsi="Calibri"/>
        </w:rPr>
        <w:t xml:space="preserve">Institucionālais finansējums tiktu </w:t>
      </w:r>
      <w:r w:rsidRPr="00514928">
        <w:rPr>
          <w:rFonts w:ascii="Calibri" w:eastAsia="Calibri" w:hAnsi="Calibri"/>
        </w:rPr>
        <w:t>piešķirts kā bloka dotācija augstākās izglītības iestādēm, kas pirmajos gados būtu ne mazāka par esošo</w:t>
      </w:r>
      <w:r w:rsidR="00910994" w:rsidRPr="00514928">
        <w:rPr>
          <w:rFonts w:ascii="Calibri" w:eastAsia="Calibri" w:hAnsi="Calibri"/>
        </w:rPr>
        <w:t xml:space="preserve"> 2024.gada</w:t>
      </w:r>
      <w:r w:rsidRPr="00514928">
        <w:rPr>
          <w:rFonts w:ascii="Calibri" w:eastAsia="Calibri" w:hAnsi="Calibri"/>
        </w:rPr>
        <w:t xml:space="preserve"> finansējuma apmēru, ko </w:t>
      </w:r>
      <w:r w:rsidRPr="00514928">
        <w:rPr>
          <w:rFonts w:ascii="Calibri" w:eastAsia="Calibri" w:hAnsi="Calibri"/>
        </w:rPr>
        <w:lastRenderedPageBreak/>
        <w:t>iestādes pirmā pīlāra ietvaros saņem. Finansējuma piešķiršana notiktu saskaņā ar valsts bāzes un snieguma finansējuma piešķīruma līgumu, ko ie</w:t>
      </w:r>
      <w:r w:rsidRPr="002A7D65">
        <w:rPr>
          <w:rFonts w:ascii="Calibri" w:eastAsia="Calibri" w:hAnsi="Calibri"/>
        </w:rPr>
        <w:t xml:space="preserve">stāde noslēgtu tādā pašā kārtībā, kādā pašlaik noslēdz ar valsti līgumu par budžeta vietu piešķiršanu. Šī līguma ietvaros tiktu noteikts piešķiramā finansējuma apmērs, iestādes sagatavojamo absolventu skaits valstij prioritārās jomās, kā arī iestāde informētu par plānoto uzņemamo studējošo skaitu savās studiju programmās. </w:t>
      </w:r>
    </w:p>
    <w:p w14:paraId="19E8D7FA" w14:textId="77777777" w:rsidR="006139A4" w:rsidRPr="002A7D65" w:rsidRDefault="006139A4" w:rsidP="006139A4">
      <w:r w:rsidRPr="002A7D65">
        <w:t>Vienlaikus valsts noslēgs līgumus ar iestādēm par specifisko speciālistu skaita sagatavošanu valsts prioritārās jomās, lai nodrošinātu augstākās izglītības iestāžu darba sasaisti ar tautsaimniecības vajadzībām un to, ka netiek likvidētas valstī unikālas jomas. Savukārt studējošo izvēles vadīšana balstīsies uz finansiālo atbalstu studējošajiem.</w:t>
      </w:r>
    </w:p>
    <w:p w14:paraId="14B264B2" w14:textId="77777777" w:rsidR="006139A4" w:rsidRPr="002A7D65" w:rsidRDefault="006139A4" w:rsidP="006139A4">
      <w:r w:rsidRPr="002A7D65">
        <w:t xml:space="preserve">Pāreja uz institucionālo finansējumu notiks pakāpeniski, ņemot vērā studējošo tiesisko paļāvību. Šīs pārejas ietvaros esošie studējošie savas studijas pabeigs atbilstoši esošai sistēmai, bet jaunuzņemtie studējošie tiks finansēti atbilstoši institucionālā finansējuma sistēmai. </w:t>
      </w:r>
    </w:p>
    <w:p w14:paraId="1ACDB019" w14:textId="77777777" w:rsidR="006139A4" w:rsidRPr="002A7D65" w:rsidRDefault="006139A4" w:rsidP="006139A4">
      <w:r w:rsidRPr="002A7D65">
        <w:t>Institucionālā finansējuma sistēmā valsts augstskolas padome pēc rektora priekšlikuma un senāta un augstskolas studējošo pašpārvaldes atzinumiem nosaka studiju vietu skaitu, studiju vietas finansēšanas principus no valsts budžeta, augstskolas budžeta un privātpersonu līdzekļiem, kā arī studiju maksas nosacījumus</w:t>
      </w:r>
    </w:p>
    <w:p w14:paraId="51D2A1E2" w14:textId="2BDF862A" w:rsidR="009C58E7" w:rsidRPr="002A7D65" w:rsidRDefault="006139A4" w:rsidP="009129F1">
      <w:r w:rsidRPr="002A7D65">
        <w:t>Tāpat arī, lai nodrošinātu nepieciešamo speciālistu sagatavošanu valstij prioritārās jomās un iestāžu monitoringu, ministrija līdzīgi kā līdz šim slēgs līgumus ar augstākās izglītības iestādēm par valsts finansējuma piešķiršanu. Šo līgumu ietvaros iestāde informēs par plānoto vietu skaitu un to finansējuma avotiem un maksu apmēriem, kā arī valsts noteiks sagatavojamo speciālistu skaitu valsts prioritārās jomās, vienlaikus to līdzsvarojot ar iestāžu autonomiju un institucionālā finansējuma sistēmas mērķi ļaut iestādēm brīvāk lemt par savām studiju finansēm.</w:t>
      </w:r>
    </w:p>
    <w:p w14:paraId="41631014" w14:textId="77777777" w:rsidR="00AE0C70" w:rsidRPr="002A7D65" w:rsidRDefault="00AE0C70" w:rsidP="009129F1">
      <w:pPr>
        <w:rPr>
          <w:i/>
          <w:iCs/>
        </w:rPr>
      </w:pPr>
    </w:p>
    <w:p w14:paraId="18994A99" w14:textId="77777777" w:rsidR="009C58E7" w:rsidRPr="002A7D65" w:rsidRDefault="009C58E7" w:rsidP="00491B9A">
      <w:pPr>
        <w:pStyle w:val="Heading4"/>
      </w:pPr>
      <w:r w:rsidRPr="002A7D65">
        <w:t>Institucionālās stipendijas</w:t>
      </w:r>
    </w:p>
    <w:p w14:paraId="23F6BC17" w14:textId="62C22FF5" w:rsidR="00C5043C" w:rsidRPr="002A7D65" w:rsidRDefault="00C5043C" w:rsidP="00C5043C">
      <w:r w:rsidRPr="002A7D65">
        <w:t xml:space="preserve">Pašlaik līdz ar budžeta vietām valsts augtākās </w:t>
      </w:r>
      <w:r w:rsidRPr="00514928">
        <w:t>izglītības iestādēm piešķir arī stipendijas proporcionāli piešķirto budžeta vietu skaitam</w:t>
      </w:r>
      <w:r w:rsidR="00910994" w:rsidRPr="00514928">
        <w:t xml:space="preserve">, kas veido stipendiju fondu, kuru sadala </w:t>
      </w:r>
      <w:r w:rsidR="00151EF5">
        <w:t>AII</w:t>
      </w:r>
      <w:r w:rsidRPr="00514928">
        <w:t xml:space="preserve">. Vienlaikus valsts arī piešķir stipendijas studējošajiem </w:t>
      </w:r>
      <w:r w:rsidR="00910994" w:rsidRPr="00514928">
        <w:t>atbilstoši konkrētam stipendiātu skaitam</w:t>
      </w:r>
      <w:r w:rsidRPr="00514928">
        <w:t>, caur sociālo stipendiju “</w:t>
      </w:r>
      <w:proofErr w:type="spellStart"/>
      <w:r w:rsidRPr="00514928">
        <w:t>Studētgods</w:t>
      </w:r>
      <w:proofErr w:type="spellEnd"/>
      <w:r w:rsidRPr="00514928">
        <w:t>”. Arī turpmāk ministrija</w:t>
      </w:r>
      <w:r w:rsidRPr="002A7D65">
        <w:t>, balstoties uz vēsturiskajiem principiem, piešķirs finansējumu augstākās izglītības iestādēm stipendiju piešķiršanai studējošajiem, kas būtu ne mazāks kā līdz šim piešķirtā finansējuma apmērā. Būtiska atšķirība būtu tajā, ka, līdzīgi kā ar bloka dotāciju, augstākās izglītības iestādes varētu brīvi noteikt stipendiju skaitu un summu, bet ar nosacījum</w:t>
      </w:r>
      <w:r w:rsidR="00550F8C" w:rsidRPr="002A7D65">
        <w:t>iem</w:t>
      </w:r>
      <w:r w:rsidRPr="002A7D65">
        <w:t>, ka vismaz 20% no stipendiju</w:t>
      </w:r>
      <w:r w:rsidR="00BB7F72" w:rsidRPr="002A7D65">
        <w:t xml:space="preserve"> finansējuma</w:t>
      </w:r>
      <w:r w:rsidRPr="002A7D65">
        <w:t xml:space="preserve"> tiek piešķirtas pēc sociālajiem kritērijiem</w:t>
      </w:r>
      <w:r w:rsidR="00550F8C" w:rsidRPr="002A7D65">
        <w:t xml:space="preserve"> un ka vienas stipendijas apmērs mēnesī nebūs </w:t>
      </w:r>
      <w:r w:rsidR="00475EDF">
        <w:t>mazāks par</w:t>
      </w:r>
      <w:r w:rsidR="00550F8C" w:rsidRPr="002A7D65">
        <w:t xml:space="preserve"> 140 </w:t>
      </w:r>
      <w:r w:rsidR="00550F8C" w:rsidRPr="002A7D65">
        <w:rPr>
          <w:i/>
          <w:iCs/>
        </w:rPr>
        <w:t>eur</w:t>
      </w:r>
      <w:r w:rsidR="00A246F5">
        <w:rPr>
          <w:i/>
          <w:iCs/>
        </w:rPr>
        <w:t>o</w:t>
      </w:r>
      <w:r w:rsidR="009E13AC">
        <w:t>.</w:t>
      </w:r>
      <w:r w:rsidR="009E13AC" w:rsidRPr="009E13AC">
        <w:t xml:space="preserve"> Mērķētu atbalsta politikas īstenošanai augstskolas var noteikti sociālos kritērijus arī akadēmiskajām stipendijām.</w:t>
      </w:r>
    </w:p>
    <w:p w14:paraId="36D98511" w14:textId="77777777" w:rsidR="009C58E7" w:rsidRPr="002A7D65" w:rsidRDefault="009C58E7" w:rsidP="009C58E7"/>
    <w:p w14:paraId="513BE099" w14:textId="77777777" w:rsidR="009C58E7" w:rsidRPr="002A7D65" w:rsidRDefault="009C58E7" w:rsidP="009C58E7"/>
    <w:p w14:paraId="655061FB" w14:textId="334BC979" w:rsidR="009C58E7" w:rsidRPr="002A7D65" w:rsidRDefault="009C58E7" w:rsidP="00491B9A">
      <w:pPr>
        <w:pStyle w:val="Heading4"/>
      </w:pPr>
      <w:r w:rsidRPr="002A7D65">
        <w:t>Turpmāka aktualizācija</w:t>
      </w:r>
    </w:p>
    <w:p w14:paraId="3D33C70C" w14:textId="0E4008AD" w:rsidR="00C25D11" w:rsidRPr="002A7D65" w:rsidRDefault="0052288D" w:rsidP="009C58E7">
      <w:r w:rsidRPr="002A7D65">
        <w:t>Līdz šim budžeta vietas finansējums ir ticis rēķināts, ņemot vērā</w:t>
      </w:r>
      <w:r w:rsidR="00BF4C90" w:rsidRPr="002A7D65">
        <w:t xml:space="preserve"> vidējās izmaksas uz vienu studējošo. Šīs izmaksas ir tikušas diferencētas pēc </w:t>
      </w:r>
      <w:r w:rsidR="004069B1" w:rsidRPr="002A7D65">
        <w:t xml:space="preserve">tematiskās jomas un līmeņa, paredzot to, ka viena eksperta sagatavošanā tajā pašā jomā un studiju līmenī maksā identiski, </w:t>
      </w:r>
      <w:r w:rsidR="004069B1" w:rsidRPr="002A7D65">
        <w:lastRenderedPageBreak/>
        <w:t xml:space="preserve">neatkarīgi no iestādes. </w:t>
      </w:r>
      <w:r w:rsidR="00C25D11" w:rsidRPr="002A7D65">
        <w:t xml:space="preserve">Ņemot vērā </w:t>
      </w:r>
      <w:r w:rsidR="00EB418D" w:rsidRPr="002A7D65">
        <w:t>to, ka institucionālā finansējuma mērķis ir iestāžu brīvība veidot diferencētas izmaksas</w:t>
      </w:r>
      <w:r w:rsidR="00CB605B" w:rsidRPr="002A7D65">
        <w:t>, turpmāk vienas vietas vidējā izmaksa vairs nebūs objektīvs rādītājs</w:t>
      </w:r>
      <w:r w:rsidR="00D3413B" w:rsidRPr="002A7D65">
        <w:t xml:space="preserve">, pēc kā rēķināt nepieciešamo papildu finansējumu, kas nepieciešams augstākās izglītības iestādēm no valsts. </w:t>
      </w:r>
    </w:p>
    <w:p w14:paraId="20943AE6" w14:textId="5D48A651" w:rsidR="00D3413B" w:rsidRPr="002A7D65" w:rsidRDefault="00D3413B" w:rsidP="009C58E7">
      <w:r w:rsidRPr="002A7D65">
        <w:t xml:space="preserve">Šī iemesla dēļ, </w:t>
      </w:r>
      <w:r w:rsidR="00BE1A92" w:rsidRPr="002A7D65">
        <w:t>turpmāk augstākās izglītības iestādēm piešķiramo bloka dotāciju no valsts būtu</w:t>
      </w:r>
      <w:r w:rsidR="00910994">
        <w:t xml:space="preserve"> jāaktualizē</w:t>
      </w:r>
      <w:r w:rsidR="00BE1A92" w:rsidRPr="002A7D65">
        <w:t xml:space="preserve">, par pamatu ņemot nevis vidējās studējošo izmaksas, bet gan </w:t>
      </w:r>
      <w:r w:rsidR="00E00F46" w:rsidRPr="002A7D65">
        <w:t>akadēmiskā personāla atalgojumu un slodzes. Augstākās izglītības iestādes darbības pamatā ir akadēmiskais personāls un kvalitatīva akadēmiskā personāla grupa, ar darbiniekiem visos karjeras līmeņos ir nozīmīgs pamats tam, lai nodrošinātu kvalitāti un iestāde varētu sekmīgi darboties.</w:t>
      </w:r>
      <w:r w:rsidR="00B0001A" w:rsidRPr="002A7D65">
        <w:t xml:space="preserve"> </w:t>
      </w:r>
    </w:p>
    <w:p w14:paraId="3B3ED5B4" w14:textId="086F44E9" w:rsidR="009C58E7" w:rsidRDefault="00130872" w:rsidP="00103FF5">
      <w:r w:rsidRPr="002A7D65">
        <w:t xml:space="preserve">Jau šobrīd ir iespējams izteikt valsts finansējumu augstākās izglītības iestādēm akadēmiskā personāla algā, jo, saskaņā ar Ministru kabineta 2006. gada 12. decembra noteikumu Nr. 994 “Kārtība, kādā augstskolas un koledžas tiek finansētas no valsts budžeta līdzekļiem” 2. pielikumu, studiju vietas bāzes izmaksas aprēķinā ņem vērā </w:t>
      </w:r>
      <w:r w:rsidR="00A87BAE" w:rsidRPr="002A7D65">
        <w:t>akadēmiskā personāla darba algu uz vienu studējošo.</w:t>
      </w:r>
      <w:r w:rsidR="004D21B3">
        <w:t xml:space="preserve"> Savukārt akadēmiskā personāla struktūra atbilstoši karjeras līmeņiem </w:t>
      </w:r>
      <w:r w:rsidR="00CC080D">
        <w:t xml:space="preserve">tiek aprēķināta ņemot vērā </w:t>
      </w:r>
      <w:proofErr w:type="spellStart"/>
      <w:r w:rsidR="00CC080D">
        <w:t>Eurydice</w:t>
      </w:r>
      <w:proofErr w:type="spellEnd"/>
      <w:r w:rsidR="00CC080D">
        <w:t xml:space="preserve"> pētījumu</w:t>
      </w:r>
      <w:r w:rsidR="00CC080D">
        <w:rPr>
          <w:rStyle w:val="FootnoteReference"/>
        </w:rPr>
        <w:footnoteReference w:id="25"/>
      </w:r>
      <w:r w:rsidR="00CC080D">
        <w:t xml:space="preserve"> par akadēmisko karjeru struktūru Latvijā, un IZM izstrādē esošo konceptuālo ziņojumu par akadēmiskām karjerām, kas balstās </w:t>
      </w:r>
      <w:proofErr w:type="spellStart"/>
      <w:r w:rsidR="00CC080D">
        <w:t>Eyridice</w:t>
      </w:r>
      <w:proofErr w:type="spellEnd"/>
      <w:r w:rsidR="00CC080D">
        <w:t xml:space="preserve"> pētījuma secinājumos.</w:t>
      </w:r>
      <w:r w:rsidR="00103FF5">
        <w:t xml:space="preserve"> </w:t>
      </w:r>
      <w:r w:rsidR="008E51E0" w:rsidRPr="002A7D65">
        <w:t xml:space="preserve">Ņemot par pamatu  </w:t>
      </w:r>
      <w:r w:rsidR="00C25D11" w:rsidRPr="002A7D65">
        <w:t>Izglītības attīstības pamatnostādņu</w:t>
      </w:r>
      <w:r w:rsidR="007927A3" w:rsidRPr="002A7D65">
        <w:t xml:space="preserve"> 2021.-2027. gadam</w:t>
      </w:r>
      <w:r w:rsidR="00C25D11" w:rsidRPr="002A7D65">
        <w:t xml:space="preserve"> plānoto vidējo akadēmiskā personāla algas pieaugumu</w:t>
      </w:r>
      <w:r w:rsidR="00357FF3">
        <w:t xml:space="preserve"> 202</w:t>
      </w:r>
      <w:r w:rsidR="00567F47">
        <w:t>7</w:t>
      </w:r>
      <w:r w:rsidR="00357FF3">
        <w:t>. gadā</w:t>
      </w:r>
      <w:r w:rsidR="00C25D11" w:rsidRPr="002A7D65">
        <w:t>,</w:t>
      </w:r>
      <w:r w:rsidR="008E51E0" w:rsidRPr="002A7D65">
        <w:t xml:space="preserve"> kā arī </w:t>
      </w:r>
      <w:r w:rsidR="0092093C" w:rsidRPr="002A7D65">
        <w:t xml:space="preserve">optimālo akadēmiskā personāla amatu proporciju, </w:t>
      </w:r>
      <w:r w:rsidR="007927A3" w:rsidRPr="002A7D65">
        <w:t>tiek iegūt</w:t>
      </w:r>
      <w:r w:rsidR="001F7723">
        <w:t>as algas izmaksas uz vienu akadēmiskā personāla komplektu.</w:t>
      </w:r>
    </w:p>
    <w:p w14:paraId="3C941E09" w14:textId="77777777" w:rsidR="00C94853" w:rsidRPr="002A7D65" w:rsidRDefault="00C94853" w:rsidP="00103FF5"/>
    <w:p w14:paraId="6E009565" w14:textId="340194BE" w:rsidR="00CD63A1" w:rsidRPr="00C94853" w:rsidRDefault="00C94853" w:rsidP="00C94853">
      <w:pPr>
        <w:pStyle w:val="ListParagraph"/>
        <w:jc w:val="right"/>
        <w:rPr>
          <w:rFonts w:asciiTheme="minorHAnsi" w:hAnsiTheme="minorHAnsi"/>
          <w:sz w:val="24"/>
        </w:rPr>
      </w:pPr>
      <w:r>
        <w:rPr>
          <w:rFonts w:asciiTheme="minorHAnsi" w:hAnsiTheme="minorHAnsi"/>
          <w:sz w:val="24"/>
        </w:rPr>
        <w:t>1</w:t>
      </w:r>
      <w:r w:rsidRPr="00C94853">
        <w:rPr>
          <w:rFonts w:asciiTheme="minorHAnsi" w:hAnsiTheme="minorHAnsi"/>
          <w:sz w:val="24"/>
        </w:rPr>
        <w:t>.</w:t>
      </w:r>
      <w:r>
        <w:rPr>
          <w:rFonts w:asciiTheme="minorHAnsi" w:hAnsiTheme="minorHAnsi"/>
          <w:sz w:val="24"/>
        </w:rPr>
        <w:t xml:space="preserve"> tabula</w:t>
      </w:r>
      <w:r w:rsidRPr="00C94853">
        <w:rPr>
          <w:rFonts w:asciiTheme="minorHAnsi" w:hAnsiTheme="minorHAnsi"/>
          <w:sz w:val="24"/>
        </w:rPr>
        <w:t xml:space="preserve">: </w:t>
      </w:r>
      <w:r>
        <w:rPr>
          <w:rFonts w:asciiTheme="minorHAnsi" w:hAnsiTheme="minorHAnsi"/>
          <w:sz w:val="24"/>
        </w:rPr>
        <w:t>Akadēmiskā personāla struktūra un atalgojums</w:t>
      </w:r>
    </w:p>
    <w:tbl>
      <w:tblP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1800"/>
        <w:gridCol w:w="1300"/>
        <w:gridCol w:w="1700"/>
        <w:gridCol w:w="2120"/>
      </w:tblGrid>
      <w:tr w:rsidR="00CD63A1" w:rsidRPr="002A7D65" w14:paraId="7A899FB7" w14:textId="77777777" w:rsidTr="00CD63A1">
        <w:trPr>
          <w:trHeight w:val="300"/>
        </w:trPr>
        <w:tc>
          <w:tcPr>
            <w:tcW w:w="1800" w:type="dxa"/>
          </w:tcPr>
          <w:p w14:paraId="4430E224" w14:textId="2DF25E09" w:rsidR="00CD63A1" w:rsidRPr="002A7D65" w:rsidRDefault="00CD63A1" w:rsidP="00CD63A1">
            <w:pPr>
              <w:spacing w:line="240" w:lineRule="auto"/>
              <w:ind w:firstLine="0"/>
              <w:jc w:val="left"/>
              <w:rPr>
                <w:rFonts w:ascii="Calibri" w:eastAsia="Times New Roman" w:hAnsi="Calibri"/>
                <w:color w:val="000000"/>
                <w:sz w:val="22"/>
                <w:szCs w:val="22"/>
              </w:rPr>
            </w:pPr>
            <w:r w:rsidRPr="002A7D65">
              <w:rPr>
                <w:rFonts w:ascii="Calibri" w:eastAsia="Times New Roman" w:hAnsi="Calibri"/>
                <w:color w:val="000000"/>
                <w:sz w:val="22"/>
                <w:szCs w:val="22"/>
              </w:rPr>
              <w:t>Amats</w:t>
            </w:r>
          </w:p>
        </w:tc>
        <w:tc>
          <w:tcPr>
            <w:tcW w:w="1800" w:type="dxa"/>
            <w:shd w:val="clear" w:color="auto" w:fill="auto"/>
            <w:noWrap/>
            <w:vAlign w:val="bottom"/>
            <w:hideMark/>
          </w:tcPr>
          <w:p w14:paraId="6E9C000A" w14:textId="519FFD8D" w:rsidR="00CD63A1" w:rsidRPr="00CD63A1" w:rsidRDefault="00AA4045" w:rsidP="00AA4045">
            <w:pPr>
              <w:spacing w:line="240" w:lineRule="auto"/>
              <w:ind w:firstLine="0"/>
              <w:jc w:val="center"/>
              <w:rPr>
                <w:rFonts w:ascii="Calibri" w:eastAsia="Times New Roman" w:hAnsi="Calibri"/>
                <w:color w:val="000000"/>
                <w:sz w:val="22"/>
                <w:szCs w:val="22"/>
              </w:rPr>
            </w:pPr>
            <w:r>
              <w:rPr>
                <w:rFonts w:ascii="Calibri" w:eastAsia="Times New Roman" w:hAnsi="Calibri"/>
                <w:color w:val="000000"/>
                <w:sz w:val="22"/>
                <w:szCs w:val="22"/>
              </w:rPr>
              <w:t>Asistents</w:t>
            </w:r>
          </w:p>
        </w:tc>
        <w:tc>
          <w:tcPr>
            <w:tcW w:w="1300" w:type="dxa"/>
            <w:shd w:val="clear" w:color="auto" w:fill="auto"/>
            <w:noWrap/>
            <w:vAlign w:val="bottom"/>
            <w:hideMark/>
          </w:tcPr>
          <w:p w14:paraId="71BA81B5" w14:textId="059A92DD" w:rsidR="00CD63A1" w:rsidRPr="00CD63A1" w:rsidRDefault="002A7D65" w:rsidP="00CD63A1">
            <w:pPr>
              <w:spacing w:line="240" w:lineRule="auto"/>
              <w:ind w:firstLine="0"/>
              <w:jc w:val="left"/>
              <w:rPr>
                <w:rFonts w:ascii="Calibri" w:eastAsia="Times New Roman" w:hAnsi="Calibri"/>
                <w:color w:val="000000"/>
                <w:sz w:val="22"/>
                <w:szCs w:val="22"/>
              </w:rPr>
            </w:pPr>
            <w:r w:rsidRPr="002A7D65">
              <w:rPr>
                <w:rFonts w:ascii="Calibri" w:eastAsia="Times New Roman" w:hAnsi="Calibri"/>
                <w:color w:val="000000"/>
                <w:sz w:val="22"/>
                <w:szCs w:val="22"/>
              </w:rPr>
              <w:t>Pētnieks</w:t>
            </w:r>
          </w:p>
        </w:tc>
        <w:tc>
          <w:tcPr>
            <w:tcW w:w="1700" w:type="dxa"/>
            <w:shd w:val="clear" w:color="auto" w:fill="auto"/>
            <w:noWrap/>
            <w:vAlign w:val="bottom"/>
            <w:hideMark/>
          </w:tcPr>
          <w:p w14:paraId="1B0EE32F" w14:textId="6DC592F7" w:rsidR="00CD63A1" w:rsidRPr="00CD63A1" w:rsidRDefault="002A7D65" w:rsidP="00CD63A1">
            <w:pPr>
              <w:spacing w:line="240" w:lineRule="auto"/>
              <w:ind w:firstLine="0"/>
              <w:jc w:val="left"/>
              <w:rPr>
                <w:rFonts w:ascii="Calibri" w:eastAsia="Times New Roman" w:hAnsi="Calibri"/>
                <w:color w:val="000000"/>
                <w:sz w:val="22"/>
                <w:szCs w:val="22"/>
              </w:rPr>
            </w:pPr>
            <w:r w:rsidRPr="002A7D65">
              <w:rPr>
                <w:rFonts w:ascii="Calibri" w:eastAsia="Times New Roman" w:hAnsi="Calibri"/>
                <w:color w:val="000000"/>
                <w:sz w:val="22"/>
                <w:szCs w:val="22"/>
              </w:rPr>
              <w:t>Asociētais profesors</w:t>
            </w:r>
          </w:p>
        </w:tc>
        <w:tc>
          <w:tcPr>
            <w:tcW w:w="2120" w:type="dxa"/>
            <w:shd w:val="clear" w:color="auto" w:fill="auto"/>
            <w:noWrap/>
            <w:vAlign w:val="bottom"/>
            <w:hideMark/>
          </w:tcPr>
          <w:p w14:paraId="252E413E" w14:textId="50B9D06D" w:rsidR="00CD63A1" w:rsidRPr="00CD63A1" w:rsidRDefault="002A7D65" w:rsidP="00CD63A1">
            <w:pPr>
              <w:spacing w:line="240" w:lineRule="auto"/>
              <w:ind w:firstLine="0"/>
              <w:jc w:val="left"/>
              <w:rPr>
                <w:rFonts w:ascii="Calibri" w:eastAsia="Times New Roman" w:hAnsi="Calibri"/>
                <w:color w:val="000000"/>
                <w:sz w:val="22"/>
                <w:szCs w:val="22"/>
              </w:rPr>
            </w:pPr>
            <w:r w:rsidRPr="002A7D65">
              <w:rPr>
                <w:rFonts w:ascii="Calibri" w:eastAsia="Times New Roman" w:hAnsi="Calibri"/>
                <w:color w:val="000000"/>
                <w:sz w:val="22"/>
                <w:szCs w:val="22"/>
              </w:rPr>
              <w:t>Profesors</w:t>
            </w:r>
          </w:p>
        </w:tc>
      </w:tr>
      <w:tr w:rsidR="00CD63A1" w:rsidRPr="002A7D65" w14:paraId="0B0B3B51" w14:textId="77777777" w:rsidTr="00CD63A1">
        <w:trPr>
          <w:trHeight w:val="300"/>
        </w:trPr>
        <w:tc>
          <w:tcPr>
            <w:tcW w:w="1800" w:type="dxa"/>
          </w:tcPr>
          <w:p w14:paraId="2FC54A7A" w14:textId="32139873" w:rsidR="00CD63A1" w:rsidRPr="002A7D65" w:rsidRDefault="001F7723" w:rsidP="00CD63A1">
            <w:pPr>
              <w:spacing w:line="240" w:lineRule="auto"/>
              <w:ind w:firstLine="0"/>
              <w:jc w:val="left"/>
              <w:rPr>
                <w:rFonts w:ascii="Calibri" w:eastAsia="Times New Roman" w:hAnsi="Calibri"/>
                <w:color w:val="000000"/>
                <w:sz w:val="22"/>
                <w:szCs w:val="22"/>
              </w:rPr>
            </w:pPr>
            <w:r>
              <w:rPr>
                <w:rFonts w:ascii="Calibri" w:eastAsia="Times New Roman" w:hAnsi="Calibri"/>
                <w:color w:val="000000"/>
                <w:sz w:val="22"/>
                <w:szCs w:val="22"/>
              </w:rPr>
              <w:t>Īpatsvars</w:t>
            </w:r>
          </w:p>
        </w:tc>
        <w:tc>
          <w:tcPr>
            <w:tcW w:w="1800" w:type="dxa"/>
            <w:shd w:val="clear" w:color="auto" w:fill="auto"/>
            <w:noWrap/>
            <w:vAlign w:val="bottom"/>
            <w:hideMark/>
          </w:tcPr>
          <w:p w14:paraId="0CC13887" w14:textId="444BECB9" w:rsidR="00CD63A1" w:rsidRPr="00CD63A1" w:rsidRDefault="00CD63A1" w:rsidP="00CD63A1">
            <w:pPr>
              <w:spacing w:line="240" w:lineRule="auto"/>
              <w:ind w:firstLine="0"/>
              <w:jc w:val="right"/>
              <w:rPr>
                <w:rFonts w:ascii="Calibri" w:eastAsia="Times New Roman" w:hAnsi="Calibri"/>
                <w:color w:val="000000"/>
                <w:sz w:val="22"/>
                <w:szCs w:val="22"/>
              </w:rPr>
            </w:pPr>
            <w:r w:rsidRPr="00CD63A1">
              <w:rPr>
                <w:rFonts w:ascii="Calibri" w:eastAsia="Times New Roman" w:hAnsi="Calibri"/>
                <w:color w:val="000000"/>
                <w:sz w:val="22"/>
                <w:szCs w:val="22"/>
              </w:rPr>
              <w:t>35%</w:t>
            </w:r>
          </w:p>
        </w:tc>
        <w:tc>
          <w:tcPr>
            <w:tcW w:w="1300" w:type="dxa"/>
            <w:shd w:val="clear" w:color="auto" w:fill="auto"/>
            <w:noWrap/>
            <w:vAlign w:val="bottom"/>
            <w:hideMark/>
          </w:tcPr>
          <w:p w14:paraId="6BA24F0F" w14:textId="77777777" w:rsidR="00CD63A1" w:rsidRPr="00CD63A1" w:rsidRDefault="00CD63A1" w:rsidP="00CD63A1">
            <w:pPr>
              <w:spacing w:line="240" w:lineRule="auto"/>
              <w:ind w:firstLine="0"/>
              <w:jc w:val="right"/>
              <w:rPr>
                <w:rFonts w:ascii="Calibri" w:eastAsia="Times New Roman" w:hAnsi="Calibri"/>
                <w:color w:val="000000"/>
                <w:sz w:val="22"/>
                <w:szCs w:val="22"/>
              </w:rPr>
            </w:pPr>
            <w:r w:rsidRPr="00CD63A1">
              <w:rPr>
                <w:rFonts w:ascii="Calibri" w:eastAsia="Times New Roman" w:hAnsi="Calibri"/>
                <w:color w:val="000000"/>
                <w:sz w:val="22"/>
                <w:szCs w:val="22"/>
              </w:rPr>
              <w:t>30%</w:t>
            </w:r>
          </w:p>
        </w:tc>
        <w:tc>
          <w:tcPr>
            <w:tcW w:w="1700" w:type="dxa"/>
            <w:shd w:val="clear" w:color="auto" w:fill="auto"/>
            <w:noWrap/>
            <w:vAlign w:val="bottom"/>
            <w:hideMark/>
          </w:tcPr>
          <w:p w14:paraId="4CBFDF3F" w14:textId="77777777" w:rsidR="00CD63A1" w:rsidRPr="00CD63A1" w:rsidRDefault="00CD63A1" w:rsidP="00CD63A1">
            <w:pPr>
              <w:spacing w:line="240" w:lineRule="auto"/>
              <w:ind w:firstLine="0"/>
              <w:jc w:val="right"/>
              <w:rPr>
                <w:rFonts w:ascii="Calibri" w:eastAsia="Times New Roman" w:hAnsi="Calibri"/>
                <w:color w:val="000000"/>
                <w:sz w:val="22"/>
                <w:szCs w:val="22"/>
              </w:rPr>
            </w:pPr>
            <w:r w:rsidRPr="00CD63A1">
              <w:rPr>
                <w:rFonts w:ascii="Calibri" w:eastAsia="Times New Roman" w:hAnsi="Calibri"/>
                <w:color w:val="000000"/>
                <w:sz w:val="22"/>
                <w:szCs w:val="22"/>
              </w:rPr>
              <w:t>25%</w:t>
            </w:r>
          </w:p>
        </w:tc>
        <w:tc>
          <w:tcPr>
            <w:tcW w:w="2120" w:type="dxa"/>
            <w:shd w:val="clear" w:color="auto" w:fill="auto"/>
            <w:noWrap/>
            <w:vAlign w:val="bottom"/>
            <w:hideMark/>
          </w:tcPr>
          <w:p w14:paraId="77E443D5" w14:textId="77777777" w:rsidR="00CD63A1" w:rsidRPr="00CD63A1" w:rsidRDefault="00CD63A1" w:rsidP="00CD63A1">
            <w:pPr>
              <w:spacing w:line="240" w:lineRule="auto"/>
              <w:ind w:firstLine="0"/>
              <w:jc w:val="right"/>
              <w:rPr>
                <w:rFonts w:ascii="Calibri" w:eastAsia="Times New Roman" w:hAnsi="Calibri"/>
                <w:color w:val="000000"/>
                <w:sz w:val="22"/>
                <w:szCs w:val="22"/>
              </w:rPr>
            </w:pPr>
            <w:r w:rsidRPr="00CD63A1">
              <w:rPr>
                <w:rFonts w:ascii="Calibri" w:eastAsia="Times New Roman" w:hAnsi="Calibri"/>
                <w:color w:val="000000"/>
                <w:sz w:val="22"/>
                <w:szCs w:val="22"/>
              </w:rPr>
              <w:t>10%</w:t>
            </w:r>
          </w:p>
        </w:tc>
      </w:tr>
      <w:tr w:rsidR="00567F47" w:rsidRPr="002A7D65" w14:paraId="0D2FE862" w14:textId="77777777" w:rsidTr="00CD63A1">
        <w:trPr>
          <w:trHeight w:val="300"/>
        </w:trPr>
        <w:tc>
          <w:tcPr>
            <w:tcW w:w="1800" w:type="dxa"/>
          </w:tcPr>
          <w:p w14:paraId="780A9B74" w14:textId="655A5580" w:rsidR="00567F47" w:rsidRPr="002A7D65" w:rsidRDefault="00567F47" w:rsidP="00567F47">
            <w:pPr>
              <w:spacing w:line="240" w:lineRule="auto"/>
              <w:ind w:firstLine="0"/>
              <w:jc w:val="left"/>
              <w:rPr>
                <w:rFonts w:ascii="Calibri" w:eastAsia="Times New Roman" w:hAnsi="Calibri"/>
                <w:color w:val="000000"/>
                <w:sz w:val="22"/>
                <w:szCs w:val="22"/>
              </w:rPr>
            </w:pPr>
            <w:r w:rsidRPr="002A7D65">
              <w:rPr>
                <w:rFonts w:ascii="Calibri" w:eastAsia="Times New Roman" w:hAnsi="Calibri"/>
                <w:color w:val="000000"/>
                <w:sz w:val="22"/>
                <w:szCs w:val="22"/>
              </w:rPr>
              <w:t>Atalgojums mēnesī</w:t>
            </w:r>
            <w:r>
              <w:rPr>
                <w:rFonts w:ascii="Calibri" w:eastAsia="Times New Roman" w:hAnsi="Calibri"/>
                <w:color w:val="000000"/>
                <w:sz w:val="22"/>
                <w:szCs w:val="22"/>
              </w:rPr>
              <w:t xml:space="preserve"> (IAP 2027. gadā)</w:t>
            </w:r>
          </w:p>
        </w:tc>
        <w:tc>
          <w:tcPr>
            <w:tcW w:w="1800" w:type="dxa"/>
            <w:shd w:val="clear" w:color="auto" w:fill="auto"/>
            <w:noWrap/>
            <w:vAlign w:val="bottom"/>
            <w:hideMark/>
          </w:tcPr>
          <w:p w14:paraId="275E4FA1" w14:textId="7B36C605" w:rsidR="00567F47" w:rsidRPr="00CD63A1" w:rsidRDefault="00567F47" w:rsidP="00567F47">
            <w:pPr>
              <w:spacing w:line="240" w:lineRule="auto"/>
              <w:ind w:firstLine="0"/>
              <w:jc w:val="right"/>
              <w:rPr>
                <w:rFonts w:ascii="Calibri" w:eastAsia="Times New Roman" w:hAnsi="Calibri"/>
                <w:color w:val="000000"/>
                <w:sz w:val="22"/>
                <w:szCs w:val="22"/>
              </w:rPr>
            </w:pPr>
            <w:r>
              <w:rPr>
                <w:rFonts w:ascii="Calibri" w:hAnsi="Calibri"/>
                <w:color w:val="000000"/>
                <w:sz w:val="22"/>
                <w:szCs w:val="22"/>
              </w:rPr>
              <w:t xml:space="preserve">2 </w:t>
            </w:r>
            <w:r w:rsidR="00040424">
              <w:rPr>
                <w:rFonts w:ascii="Calibri" w:hAnsi="Calibri"/>
                <w:color w:val="000000"/>
                <w:sz w:val="22"/>
                <w:szCs w:val="22"/>
              </w:rPr>
              <w:t>322</w:t>
            </w:r>
            <w:r>
              <w:rPr>
                <w:rFonts w:ascii="Calibri" w:hAnsi="Calibri"/>
                <w:color w:val="000000"/>
                <w:sz w:val="22"/>
                <w:szCs w:val="22"/>
              </w:rPr>
              <w:t xml:space="preserve"> €</w:t>
            </w:r>
          </w:p>
        </w:tc>
        <w:tc>
          <w:tcPr>
            <w:tcW w:w="1300" w:type="dxa"/>
            <w:shd w:val="clear" w:color="auto" w:fill="auto"/>
            <w:noWrap/>
            <w:vAlign w:val="bottom"/>
            <w:hideMark/>
          </w:tcPr>
          <w:p w14:paraId="68219965" w14:textId="31B4292C" w:rsidR="00567F47" w:rsidRPr="00CD63A1" w:rsidRDefault="00567F47" w:rsidP="00567F47">
            <w:pPr>
              <w:spacing w:line="240" w:lineRule="auto"/>
              <w:ind w:firstLine="0"/>
              <w:jc w:val="right"/>
              <w:rPr>
                <w:rFonts w:ascii="Calibri" w:eastAsia="Times New Roman" w:hAnsi="Calibri"/>
                <w:color w:val="000000"/>
                <w:sz w:val="22"/>
                <w:szCs w:val="22"/>
              </w:rPr>
            </w:pPr>
            <w:r>
              <w:rPr>
                <w:rFonts w:ascii="Calibri" w:hAnsi="Calibri"/>
                <w:color w:val="000000"/>
                <w:sz w:val="22"/>
                <w:szCs w:val="22"/>
              </w:rPr>
              <w:t xml:space="preserve">2 </w:t>
            </w:r>
            <w:r w:rsidR="00040424">
              <w:rPr>
                <w:rFonts w:ascii="Calibri" w:hAnsi="Calibri"/>
                <w:color w:val="000000"/>
                <w:sz w:val="22"/>
                <w:szCs w:val="22"/>
              </w:rPr>
              <w:t>903</w:t>
            </w:r>
            <w:r>
              <w:rPr>
                <w:rFonts w:ascii="Calibri" w:hAnsi="Calibri"/>
                <w:color w:val="000000"/>
                <w:sz w:val="22"/>
                <w:szCs w:val="22"/>
              </w:rPr>
              <w:t xml:space="preserve"> €</w:t>
            </w:r>
          </w:p>
        </w:tc>
        <w:tc>
          <w:tcPr>
            <w:tcW w:w="1700" w:type="dxa"/>
            <w:shd w:val="clear" w:color="auto" w:fill="auto"/>
            <w:noWrap/>
            <w:vAlign w:val="bottom"/>
            <w:hideMark/>
          </w:tcPr>
          <w:p w14:paraId="6C06A396" w14:textId="16D85E2A" w:rsidR="00567F47" w:rsidRPr="00CD63A1" w:rsidRDefault="00567F47" w:rsidP="00567F47">
            <w:pPr>
              <w:spacing w:line="240" w:lineRule="auto"/>
              <w:ind w:firstLine="0"/>
              <w:jc w:val="right"/>
              <w:rPr>
                <w:rFonts w:ascii="Calibri" w:eastAsia="Times New Roman" w:hAnsi="Calibri"/>
                <w:color w:val="000000"/>
                <w:sz w:val="22"/>
                <w:szCs w:val="22"/>
              </w:rPr>
            </w:pPr>
            <w:r>
              <w:rPr>
                <w:rFonts w:ascii="Calibri" w:hAnsi="Calibri"/>
                <w:color w:val="000000"/>
                <w:sz w:val="22"/>
                <w:szCs w:val="22"/>
              </w:rPr>
              <w:t xml:space="preserve">3 </w:t>
            </w:r>
            <w:r w:rsidR="00DE610C">
              <w:rPr>
                <w:rFonts w:ascii="Calibri" w:hAnsi="Calibri"/>
                <w:color w:val="000000"/>
                <w:sz w:val="22"/>
                <w:szCs w:val="22"/>
              </w:rPr>
              <w:t>629</w:t>
            </w:r>
            <w:r>
              <w:rPr>
                <w:rFonts w:ascii="Calibri" w:hAnsi="Calibri"/>
                <w:color w:val="000000"/>
                <w:sz w:val="22"/>
                <w:szCs w:val="22"/>
              </w:rPr>
              <w:t xml:space="preserve"> €</w:t>
            </w:r>
          </w:p>
        </w:tc>
        <w:tc>
          <w:tcPr>
            <w:tcW w:w="2120" w:type="dxa"/>
            <w:shd w:val="clear" w:color="auto" w:fill="auto"/>
            <w:noWrap/>
            <w:vAlign w:val="bottom"/>
            <w:hideMark/>
          </w:tcPr>
          <w:p w14:paraId="55BEA0E9" w14:textId="37EA6A12" w:rsidR="00567F47" w:rsidRPr="00CD63A1" w:rsidRDefault="00567F47" w:rsidP="00567F47">
            <w:pPr>
              <w:spacing w:line="240" w:lineRule="auto"/>
              <w:ind w:firstLine="0"/>
              <w:jc w:val="right"/>
              <w:rPr>
                <w:rFonts w:ascii="Calibri" w:eastAsia="Times New Roman" w:hAnsi="Calibri"/>
                <w:color w:val="000000"/>
                <w:sz w:val="22"/>
                <w:szCs w:val="22"/>
              </w:rPr>
            </w:pPr>
            <w:r>
              <w:rPr>
                <w:rFonts w:ascii="Calibri" w:hAnsi="Calibri"/>
                <w:color w:val="000000"/>
                <w:sz w:val="22"/>
                <w:szCs w:val="22"/>
              </w:rPr>
              <w:t xml:space="preserve">4 </w:t>
            </w:r>
            <w:r w:rsidR="00DE610C">
              <w:rPr>
                <w:rFonts w:ascii="Calibri" w:hAnsi="Calibri"/>
                <w:color w:val="000000"/>
                <w:sz w:val="22"/>
                <w:szCs w:val="22"/>
              </w:rPr>
              <w:t>536</w:t>
            </w:r>
            <w:r>
              <w:rPr>
                <w:rFonts w:ascii="Calibri" w:hAnsi="Calibri"/>
                <w:color w:val="000000"/>
                <w:sz w:val="22"/>
                <w:szCs w:val="22"/>
              </w:rPr>
              <w:t xml:space="preserve"> €</w:t>
            </w:r>
          </w:p>
        </w:tc>
      </w:tr>
    </w:tbl>
    <w:p w14:paraId="62B63092" w14:textId="77777777" w:rsidR="00B80C3A" w:rsidRDefault="00B80C3A" w:rsidP="008E51E0"/>
    <w:p w14:paraId="4DD562D7" w14:textId="537B9B94" w:rsidR="006235E0" w:rsidRDefault="003A1383" w:rsidP="006235E0">
      <w:r>
        <w:t>Vienlaicīgi, saskaņā ar</w:t>
      </w:r>
      <w:r w:rsidR="005461E4">
        <w:t xml:space="preserve"> pēc IZM pasūtījuma veikto izmaksu pētījumu</w:t>
      </w:r>
      <w:r w:rsidR="002E1E67">
        <w:rPr>
          <w:rStyle w:val="FootnoteReference"/>
        </w:rPr>
        <w:footnoteReference w:id="26"/>
      </w:r>
      <w:r w:rsidR="005461E4">
        <w:t xml:space="preserve">, </w:t>
      </w:r>
      <w:r w:rsidR="00103FF5">
        <w:t>izglītības tematiskajās jomās ar viszemāko studiju izmaksu koeficienta minimālo vērtību, papildu algai un DDVSAOI ir arī 48% izmaksu, kas saistītas ar infrastruktūru</w:t>
      </w:r>
      <w:r w:rsidR="00567A17">
        <w:t>, materiāltehnisko nodrošinājumu, infrastruktūru, administrēšanu un citām pieskaitāmām izmaksām</w:t>
      </w:r>
      <w:r w:rsidR="004952DE">
        <w:rPr>
          <w:rStyle w:val="FootnoteReference"/>
        </w:rPr>
        <w:footnoteReference w:id="27"/>
      </w:r>
      <w:r w:rsidR="00567A17">
        <w:t xml:space="preserve">. Attiecīgi, </w:t>
      </w:r>
      <w:r w:rsidR="006235E0">
        <w:t>iegūst viena akadēmiskā personāla “komplekta” pilnās izmaksas:</w:t>
      </w:r>
    </w:p>
    <w:p w14:paraId="3A63F9ED" w14:textId="77777777" w:rsidR="00C94853" w:rsidRDefault="00C94853" w:rsidP="006235E0"/>
    <w:p w14:paraId="7E9EEE1E" w14:textId="32AA27AD" w:rsidR="006B57B3" w:rsidRPr="00C94853" w:rsidRDefault="00C94853" w:rsidP="00C94853">
      <w:pPr>
        <w:pStyle w:val="ListParagraph"/>
        <w:jc w:val="right"/>
        <w:rPr>
          <w:rFonts w:asciiTheme="minorHAnsi" w:hAnsiTheme="minorHAnsi"/>
          <w:sz w:val="24"/>
        </w:rPr>
      </w:pPr>
      <w:r>
        <w:rPr>
          <w:rFonts w:asciiTheme="minorHAnsi" w:hAnsiTheme="minorHAnsi"/>
          <w:sz w:val="24"/>
        </w:rPr>
        <w:t>2</w:t>
      </w:r>
      <w:r w:rsidRPr="00C94853">
        <w:rPr>
          <w:rFonts w:asciiTheme="minorHAnsi" w:hAnsiTheme="minorHAnsi"/>
          <w:sz w:val="24"/>
        </w:rPr>
        <w:t>.</w:t>
      </w:r>
      <w:r>
        <w:rPr>
          <w:rFonts w:asciiTheme="minorHAnsi" w:hAnsiTheme="minorHAnsi"/>
          <w:sz w:val="24"/>
        </w:rPr>
        <w:t xml:space="preserve"> tabula</w:t>
      </w:r>
      <w:r w:rsidRPr="00C94853">
        <w:rPr>
          <w:rFonts w:asciiTheme="minorHAnsi" w:hAnsiTheme="minorHAnsi"/>
          <w:sz w:val="24"/>
        </w:rPr>
        <w:t xml:space="preserve">: </w:t>
      </w:r>
      <w:r>
        <w:rPr>
          <w:rFonts w:asciiTheme="minorHAnsi" w:hAnsiTheme="minorHAnsi"/>
          <w:sz w:val="24"/>
        </w:rPr>
        <w:t>Akadēmiskā personāla “komplekta” izmaksas</w:t>
      </w:r>
    </w:p>
    <w:tbl>
      <w:tblPr>
        <w:tblStyle w:val="TableGrid"/>
        <w:tblW w:w="0" w:type="auto"/>
        <w:tblLook w:val="04A0" w:firstRow="1" w:lastRow="0" w:firstColumn="1" w:lastColumn="0" w:noHBand="0" w:noVBand="1"/>
      </w:tblPr>
      <w:tblGrid>
        <w:gridCol w:w="1242"/>
        <w:gridCol w:w="1198"/>
        <w:gridCol w:w="1210"/>
        <w:gridCol w:w="1213"/>
        <w:gridCol w:w="1636"/>
        <w:gridCol w:w="1215"/>
        <w:gridCol w:w="1206"/>
      </w:tblGrid>
      <w:tr w:rsidR="00FA56ED" w14:paraId="40A08AB2" w14:textId="77777777" w:rsidTr="00F142FC">
        <w:tc>
          <w:tcPr>
            <w:tcW w:w="1242" w:type="dxa"/>
            <w:vAlign w:val="bottom"/>
          </w:tcPr>
          <w:p w14:paraId="7BA61EC2" w14:textId="65603F43" w:rsidR="00FA56ED" w:rsidRPr="006B57B3" w:rsidRDefault="006B57B3" w:rsidP="00FA56ED">
            <w:pPr>
              <w:ind w:firstLine="0"/>
            </w:pPr>
            <w:r w:rsidRPr="006B57B3">
              <w:rPr>
                <w:rFonts w:ascii="Calibri" w:hAnsi="Calibri"/>
                <w:color w:val="000000"/>
                <w:sz w:val="22"/>
                <w:szCs w:val="22"/>
              </w:rPr>
              <w:t>Amats</w:t>
            </w:r>
          </w:p>
        </w:tc>
        <w:tc>
          <w:tcPr>
            <w:tcW w:w="1198" w:type="dxa"/>
            <w:vAlign w:val="bottom"/>
          </w:tcPr>
          <w:p w14:paraId="2EF7039F" w14:textId="0215985E" w:rsidR="00FA56ED" w:rsidRDefault="00FA56ED" w:rsidP="00FA56ED">
            <w:pPr>
              <w:ind w:firstLine="0"/>
            </w:pPr>
            <w:r>
              <w:rPr>
                <w:rFonts w:ascii="Calibri" w:hAnsi="Calibri"/>
                <w:color w:val="000000"/>
                <w:sz w:val="22"/>
                <w:szCs w:val="22"/>
              </w:rPr>
              <w:t>Skaits, PLE</w:t>
            </w:r>
          </w:p>
        </w:tc>
        <w:tc>
          <w:tcPr>
            <w:tcW w:w="1210" w:type="dxa"/>
            <w:vAlign w:val="bottom"/>
          </w:tcPr>
          <w:p w14:paraId="5552AA13" w14:textId="1182F471" w:rsidR="00FA56ED" w:rsidRDefault="00FA56ED" w:rsidP="00FA56ED">
            <w:pPr>
              <w:ind w:firstLine="0"/>
            </w:pPr>
            <w:r>
              <w:rPr>
                <w:rFonts w:ascii="Calibri" w:hAnsi="Calibri"/>
                <w:color w:val="000000"/>
                <w:sz w:val="22"/>
                <w:szCs w:val="22"/>
              </w:rPr>
              <w:t>Alga mēnesī</w:t>
            </w:r>
          </w:p>
        </w:tc>
        <w:tc>
          <w:tcPr>
            <w:tcW w:w="1213" w:type="dxa"/>
            <w:vAlign w:val="bottom"/>
          </w:tcPr>
          <w:p w14:paraId="5F538766" w14:textId="67E83F8F" w:rsidR="00FA56ED" w:rsidRDefault="00FA56ED" w:rsidP="00FA56ED">
            <w:pPr>
              <w:ind w:firstLine="0"/>
            </w:pPr>
            <w:r>
              <w:rPr>
                <w:rFonts w:ascii="Calibri" w:hAnsi="Calibri"/>
                <w:color w:val="000000"/>
                <w:sz w:val="22"/>
                <w:szCs w:val="22"/>
              </w:rPr>
              <w:t>Alga gadā +VSAOI</w:t>
            </w:r>
          </w:p>
        </w:tc>
        <w:tc>
          <w:tcPr>
            <w:tcW w:w="1636" w:type="dxa"/>
            <w:vAlign w:val="bottom"/>
          </w:tcPr>
          <w:p w14:paraId="227E2E7F" w14:textId="6AF8E719" w:rsidR="00FA56ED" w:rsidRDefault="006A29E2" w:rsidP="00FA56ED">
            <w:pPr>
              <w:ind w:firstLine="0"/>
            </w:pPr>
            <w:r>
              <w:rPr>
                <w:rFonts w:ascii="Calibri" w:hAnsi="Calibri"/>
                <w:color w:val="000000"/>
                <w:sz w:val="22"/>
                <w:szCs w:val="22"/>
              </w:rPr>
              <w:t>Administrācijas</w:t>
            </w:r>
            <w:r w:rsidR="00FA56ED">
              <w:rPr>
                <w:rFonts w:ascii="Calibri" w:hAnsi="Calibri"/>
                <w:color w:val="000000"/>
                <w:sz w:val="22"/>
                <w:szCs w:val="22"/>
              </w:rPr>
              <w:t xml:space="preserve">, </w:t>
            </w:r>
            <w:r>
              <w:rPr>
                <w:rFonts w:ascii="Calibri" w:hAnsi="Calibri"/>
                <w:color w:val="000000"/>
                <w:sz w:val="22"/>
                <w:szCs w:val="22"/>
              </w:rPr>
              <w:t>infrastruktūras</w:t>
            </w:r>
            <w:r w:rsidR="00FA56ED">
              <w:rPr>
                <w:rFonts w:ascii="Calibri" w:hAnsi="Calibri"/>
                <w:color w:val="000000"/>
                <w:sz w:val="22"/>
                <w:szCs w:val="22"/>
              </w:rPr>
              <w:t>, materiālu izmaksas</w:t>
            </w:r>
          </w:p>
        </w:tc>
        <w:tc>
          <w:tcPr>
            <w:tcW w:w="1215" w:type="dxa"/>
            <w:vAlign w:val="bottom"/>
          </w:tcPr>
          <w:p w14:paraId="5DCA7AD4" w14:textId="1CDC9856" w:rsidR="00FA56ED" w:rsidRPr="002E4D00" w:rsidRDefault="00FA56ED" w:rsidP="00FA56ED">
            <w:pPr>
              <w:ind w:firstLine="0"/>
            </w:pPr>
            <w:r w:rsidRPr="002E4D00">
              <w:rPr>
                <w:rFonts w:ascii="Calibri" w:hAnsi="Calibri"/>
                <w:color w:val="000000"/>
                <w:sz w:val="22"/>
                <w:szCs w:val="22"/>
              </w:rPr>
              <w:t>Kopā uz 1 vienību</w:t>
            </w:r>
          </w:p>
        </w:tc>
        <w:tc>
          <w:tcPr>
            <w:tcW w:w="1206" w:type="dxa"/>
            <w:vAlign w:val="bottom"/>
          </w:tcPr>
          <w:p w14:paraId="3BD6F5CD" w14:textId="6EBDEBC1" w:rsidR="00FA56ED" w:rsidRPr="002E4D00" w:rsidRDefault="00FA56ED" w:rsidP="00FA56ED">
            <w:pPr>
              <w:ind w:firstLine="0"/>
            </w:pPr>
            <w:r w:rsidRPr="002E4D00">
              <w:rPr>
                <w:rFonts w:ascii="Calibri" w:hAnsi="Calibri"/>
                <w:color w:val="000000"/>
                <w:sz w:val="22"/>
                <w:szCs w:val="22"/>
              </w:rPr>
              <w:t>Kopā uz skaitu</w:t>
            </w:r>
          </w:p>
        </w:tc>
      </w:tr>
      <w:tr w:rsidR="00F142FC" w14:paraId="0467AF11" w14:textId="77777777" w:rsidTr="00F142FC">
        <w:tc>
          <w:tcPr>
            <w:tcW w:w="1242" w:type="dxa"/>
            <w:vAlign w:val="bottom"/>
          </w:tcPr>
          <w:p w14:paraId="69F5A49B" w14:textId="31CC24D9" w:rsidR="00F142FC" w:rsidRDefault="00F142FC" w:rsidP="00F142FC">
            <w:pPr>
              <w:ind w:firstLine="0"/>
            </w:pPr>
            <w:r>
              <w:rPr>
                <w:rFonts w:ascii="Calibri" w:hAnsi="Calibri"/>
                <w:color w:val="000000"/>
                <w:sz w:val="22"/>
                <w:szCs w:val="22"/>
              </w:rPr>
              <w:t>Profesors</w:t>
            </w:r>
          </w:p>
        </w:tc>
        <w:tc>
          <w:tcPr>
            <w:tcW w:w="1198" w:type="dxa"/>
            <w:vAlign w:val="bottom"/>
          </w:tcPr>
          <w:p w14:paraId="0FB8B543" w14:textId="40A3B697" w:rsidR="00F142FC" w:rsidRDefault="00F142FC" w:rsidP="00F142FC">
            <w:pPr>
              <w:ind w:firstLine="0"/>
              <w:jc w:val="right"/>
            </w:pPr>
            <w:r>
              <w:rPr>
                <w:rFonts w:ascii="Calibri" w:hAnsi="Calibri"/>
                <w:color w:val="000000"/>
                <w:sz w:val="22"/>
                <w:szCs w:val="22"/>
              </w:rPr>
              <w:t>1</w:t>
            </w:r>
          </w:p>
        </w:tc>
        <w:tc>
          <w:tcPr>
            <w:tcW w:w="1210" w:type="dxa"/>
            <w:vAlign w:val="bottom"/>
          </w:tcPr>
          <w:p w14:paraId="3C0E94D8" w14:textId="3896BAB8" w:rsidR="00F142FC" w:rsidRDefault="00F142FC" w:rsidP="00505CB9">
            <w:pPr>
              <w:ind w:firstLine="0"/>
              <w:jc w:val="right"/>
            </w:pPr>
            <w:r>
              <w:rPr>
                <w:rFonts w:ascii="Calibri" w:hAnsi="Calibri"/>
                <w:color w:val="000000"/>
                <w:sz w:val="22"/>
                <w:szCs w:val="22"/>
              </w:rPr>
              <w:t xml:space="preserve">4 536 </w:t>
            </w:r>
          </w:p>
        </w:tc>
        <w:tc>
          <w:tcPr>
            <w:tcW w:w="1213" w:type="dxa"/>
            <w:vAlign w:val="bottom"/>
          </w:tcPr>
          <w:p w14:paraId="16710394" w14:textId="731581ED" w:rsidR="00F142FC" w:rsidRDefault="00F142FC" w:rsidP="00505CB9">
            <w:pPr>
              <w:ind w:firstLine="0"/>
              <w:jc w:val="right"/>
            </w:pPr>
            <w:r>
              <w:rPr>
                <w:rFonts w:ascii="Calibri" w:hAnsi="Calibri"/>
                <w:color w:val="000000"/>
                <w:sz w:val="22"/>
                <w:szCs w:val="22"/>
              </w:rPr>
              <w:t xml:space="preserve">67 273 </w:t>
            </w:r>
          </w:p>
        </w:tc>
        <w:tc>
          <w:tcPr>
            <w:tcW w:w="1636" w:type="dxa"/>
            <w:vAlign w:val="bottom"/>
          </w:tcPr>
          <w:p w14:paraId="08A307D5" w14:textId="298C82DD" w:rsidR="00F142FC" w:rsidRDefault="00F142FC" w:rsidP="00505CB9">
            <w:pPr>
              <w:ind w:firstLine="0"/>
              <w:jc w:val="right"/>
            </w:pPr>
            <w:r>
              <w:rPr>
                <w:rFonts w:ascii="Calibri" w:hAnsi="Calibri"/>
                <w:color w:val="000000"/>
                <w:sz w:val="22"/>
                <w:szCs w:val="22"/>
              </w:rPr>
              <w:t xml:space="preserve">32 291 </w:t>
            </w:r>
          </w:p>
        </w:tc>
        <w:tc>
          <w:tcPr>
            <w:tcW w:w="1215" w:type="dxa"/>
            <w:vAlign w:val="bottom"/>
          </w:tcPr>
          <w:p w14:paraId="7170194B" w14:textId="0E851DF9" w:rsidR="00F142FC" w:rsidRDefault="00F142FC" w:rsidP="00505CB9">
            <w:pPr>
              <w:ind w:firstLine="0"/>
              <w:jc w:val="right"/>
            </w:pPr>
            <w:r>
              <w:rPr>
                <w:rFonts w:ascii="Calibri" w:hAnsi="Calibri"/>
                <w:color w:val="000000"/>
                <w:sz w:val="22"/>
                <w:szCs w:val="22"/>
              </w:rPr>
              <w:t xml:space="preserve"> 99 563 </w:t>
            </w:r>
          </w:p>
        </w:tc>
        <w:tc>
          <w:tcPr>
            <w:tcW w:w="1206" w:type="dxa"/>
            <w:vAlign w:val="bottom"/>
          </w:tcPr>
          <w:p w14:paraId="748744CF" w14:textId="23DB8A16" w:rsidR="00F142FC" w:rsidRDefault="00F142FC" w:rsidP="00505CB9">
            <w:pPr>
              <w:ind w:firstLine="0"/>
              <w:jc w:val="right"/>
            </w:pPr>
            <w:r>
              <w:rPr>
                <w:rFonts w:ascii="Calibri" w:hAnsi="Calibri"/>
                <w:color w:val="000000"/>
                <w:sz w:val="22"/>
                <w:szCs w:val="22"/>
              </w:rPr>
              <w:t xml:space="preserve"> 99 563 </w:t>
            </w:r>
          </w:p>
        </w:tc>
      </w:tr>
      <w:tr w:rsidR="00F142FC" w14:paraId="3CC67CEA" w14:textId="77777777" w:rsidTr="00F142FC">
        <w:tc>
          <w:tcPr>
            <w:tcW w:w="1242" w:type="dxa"/>
            <w:vAlign w:val="bottom"/>
          </w:tcPr>
          <w:p w14:paraId="18B3C804" w14:textId="5D75639C" w:rsidR="00F142FC" w:rsidRDefault="00F142FC" w:rsidP="00F142FC">
            <w:pPr>
              <w:ind w:firstLine="0"/>
            </w:pPr>
            <w:r>
              <w:rPr>
                <w:rFonts w:ascii="Calibri" w:hAnsi="Calibri"/>
                <w:color w:val="000000"/>
                <w:sz w:val="22"/>
                <w:szCs w:val="22"/>
              </w:rPr>
              <w:t>Asociētie profesori</w:t>
            </w:r>
          </w:p>
        </w:tc>
        <w:tc>
          <w:tcPr>
            <w:tcW w:w="1198" w:type="dxa"/>
            <w:vAlign w:val="bottom"/>
          </w:tcPr>
          <w:p w14:paraId="440CF4B4" w14:textId="1B92AE17" w:rsidR="00F142FC" w:rsidRDefault="00F142FC" w:rsidP="00F142FC">
            <w:pPr>
              <w:ind w:firstLine="0"/>
              <w:jc w:val="right"/>
            </w:pPr>
            <w:r>
              <w:rPr>
                <w:rFonts w:ascii="Calibri" w:hAnsi="Calibri"/>
                <w:color w:val="000000"/>
                <w:sz w:val="22"/>
                <w:szCs w:val="22"/>
              </w:rPr>
              <w:t>2,5</w:t>
            </w:r>
          </w:p>
        </w:tc>
        <w:tc>
          <w:tcPr>
            <w:tcW w:w="1210" w:type="dxa"/>
            <w:vAlign w:val="bottom"/>
          </w:tcPr>
          <w:p w14:paraId="40148085" w14:textId="75DF5595" w:rsidR="00F142FC" w:rsidRDefault="00F142FC" w:rsidP="00505CB9">
            <w:pPr>
              <w:ind w:firstLine="0"/>
              <w:jc w:val="right"/>
            </w:pPr>
            <w:r>
              <w:rPr>
                <w:rFonts w:ascii="Calibri" w:hAnsi="Calibri"/>
                <w:color w:val="000000"/>
                <w:sz w:val="22"/>
                <w:szCs w:val="22"/>
              </w:rPr>
              <w:t xml:space="preserve">3 629 </w:t>
            </w:r>
          </w:p>
        </w:tc>
        <w:tc>
          <w:tcPr>
            <w:tcW w:w="1213" w:type="dxa"/>
            <w:vAlign w:val="bottom"/>
          </w:tcPr>
          <w:p w14:paraId="6D935411" w14:textId="13E33CD4" w:rsidR="00F142FC" w:rsidRDefault="00F142FC" w:rsidP="00505CB9">
            <w:pPr>
              <w:ind w:firstLine="0"/>
              <w:jc w:val="right"/>
            </w:pPr>
            <w:r>
              <w:rPr>
                <w:rFonts w:ascii="Calibri" w:hAnsi="Calibri"/>
                <w:color w:val="000000"/>
                <w:sz w:val="22"/>
                <w:szCs w:val="22"/>
              </w:rPr>
              <w:t xml:space="preserve">53 818 </w:t>
            </w:r>
          </w:p>
        </w:tc>
        <w:tc>
          <w:tcPr>
            <w:tcW w:w="1636" w:type="dxa"/>
            <w:vAlign w:val="bottom"/>
          </w:tcPr>
          <w:p w14:paraId="480D03A4" w14:textId="0FA142B2" w:rsidR="00F142FC" w:rsidRDefault="00F142FC" w:rsidP="00505CB9">
            <w:pPr>
              <w:ind w:firstLine="0"/>
              <w:jc w:val="right"/>
            </w:pPr>
            <w:r>
              <w:rPr>
                <w:rFonts w:ascii="Calibri" w:hAnsi="Calibri"/>
                <w:color w:val="000000"/>
                <w:sz w:val="22"/>
                <w:szCs w:val="22"/>
              </w:rPr>
              <w:t xml:space="preserve">25 833 </w:t>
            </w:r>
          </w:p>
        </w:tc>
        <w:tc>
          <w:tcPr>
            <w:tcW w:w="1215" w:type="dxa"/>
            <w:vAlign w:val="bottom"/>
          </w:tcPr>
          <w:p w14:paraId="365180F9" w14:textId="38886A8D" w:rsidR="00F142FC" w:rsidRDefault="00F142FC" w:rsidP="00505CB9">
            <w:pPr>
              <w:ind w:firstLine="0"/>
              <w:jc w:val="right"/>
            </w:pPr>
            <w:r>
              <w:rPr>
                <w:rFonts w:ascii="Calibri" w:hAnsi="Calibri"/>
                <w:color w:val="000000"/>
                <w:sz w:val="22"/>
                <w:szCs w:val="22"/>
              </w:rPr>
              <w:t xml:space="preserve">79 651 </w:t>
            </w:r>
          </w:p>
        </w:tc>
        <w:tc>
          <w:tcPr>
            <w:tcW w:w="1206" w:type="dxa"/>
            <w:vAlign w:val="bottom"/>
          </w:tcPr>
          <w:p w14:paraId="6FCD947D" w14:textId="646C6C6D" w:rsidR="00F142FC" w:rsidRDefault="00F142FC" w:rsidP="00505CB9">
            <w:pPr>
              <w:ind w:firstLine="0"/>
              <w:jc w:val="right"/>
            </w:pPr>
            <w:r>
              <w:rPr>
                <w:rFonts w:ascii="Calibri" w:hAnsi="Calibri"/>
                <w:color w:val="000000"/>
                <w:sz w:val="22"/>
                <w:szCs w:val="22"/>
              </w:rPr>
              <w:t xml:space="preserve">199 127 </w:t>
            </w:r>
          </w:p>
        </w:tc>
      </w:tr>
      <w:tr w:rsidR="00F142FC" w14:paraId="6121DA5D" w14:textId="77777777" w:rsidTr="00F142FC">
        <w:tc>
          <w:tcPr>
            <w:tcW w:w="1242" w:type="dxa"/>
            <w:vAlign w:val="bottom"/>
          </w:tcPr>
          <w:p w14:paraId="25B30071" w14:textId="103984C4" w:rsidR="00F142FC" w:rsidRDefault="00F142FC" w:rsidP="00F142FC">
            <w:pPr>
              <w:ind w:firstLine="0"/>
            </w:pPr>
            <w:r>
              <w:rPr>
                <w:rFonts w:ascii="Calibri" w:hAnsi="Calibri"/>
                <w:color w:val="000000"/>
                <w:sz w:val="22"/>
                <w:szCs w:val="22"/>
              </w:rPr>
              <w:t>Pētnieki</w:t>
            </w:r>
          </w:p>
        </w:tc>
        <w:tc>
          <w:tcPr>
            <w:tcW w:w="1198" w:type="dxa"/>
            <w:vAlign w:val="bottom"/>
          </w:tcPr>
          <w:p w14:paraId="5F24A3F3" w14:textId="1676F943" w:rsidR="00F142FC" w:rsidRDefault="00F142FC" w:rsidP="00F142FC">
            <w:pPr>
              <w:ind w:firstLine="0"/>
              <w:jc w:val="right"/>
            </w:pPr>
            <w:r>
              <w:rPr>
                <w:rFonts w:ascii="Calibri" w:hAnsi="Calibri"/>
                <w:color w:val="000000"/>
                <w:sz w:val="22"/>
                <w:szCs w:val="22"/>
              </w:rPr>
              <w:t>3</w:t>
            </w:r>
          </w:p>
        </w:tc>
        <w:tc>
          <w:tcPr>
            <w:tcW w:w="1210" w:type="dxa"/>
            <w:vAlign w:val="bottom"/>
          </w:tcPr>
          <w:p w14:paraId="1BB28443" w14:textId="6C3BC2D4" w:rsidR="00F142FC" w:rsidRDefault="00F142FC" w:rsidP="00505CB9">
            <w:pPr>
              <w:ind w:firstLine="0"/>
              <w:jc w:val="right"/>
            </w:pPr>
            <w:r>
              <w:rPr>
                <w:rFonts w:ascii="Calibri" w:hAnsi="Calibri"/>
                <w:color w:val="000000"/>
                <w:sz w:val="22"/>
                <w:szCs w:val="22"/>
              </w:rPr>
              <w:t xml:space="preserve">2 903 </w:t>
            </w:r>
          </w:p>
        </w:tc>
        <w:tc>
          <w:tcPr>
            <w:tcW w:w="1213" w:type="dxa"/>
            <w:vAlign w:val="bottom"/>
          </w:tcPr>
          <w:p w14:paraId="2A88AFCB" w14:textId="5F93A96C" w:rsidR="00F142FC" w:rsidRDefault="00F142FC" w:rsidP="00505CB9">
            <w:pPr>
              <w:ind w:firstLine="0"/>
              <w:jc w:val="right"/>
            </w:pPr>
            <w:r>
              <w:rPr>
                <w:rFonts w:ascii="Calibri" w:hAnsi="Calibri"/>
                <w:color w:val="000000"/>
                <w:sz w:val="22"/>
                <w:szCs w:val="22"/>
              </w:rPr>
              <w:t xml:space="preserve">43 054 </w:t>
            </w:r>
          </w:p>
        </w:tc>
        <w:tc>
          <w:tcPr>
            <w:tcW w:w="1636" w:type="dxa"/>
            <w:vAlign w:val="bottom"/>
          </w:tcPr>
          <w:p w14:paraId="58CCD417" w14:textId="31954CFD" w:rsidR="00F142FC" w:rsidRDefault="00F142FC" w:rsidP="00505CB9">
            <w:pPr>
              <w:ind w:firstLine="0"/>
              <w:jc w:val="right"/>
            </w:pPr>
            <w:r>
              <w:rPr>
                <w:rFonts w:ascii="Calibri" w:hAnsi="Calibri"/>
                <w:color w:val="000000"/>
                <w:sz w:val="22"/>
                <w:szCs w:val="22"/>
              </w:rPr>
              <w:t xml:space="preserve">20 666 </w:t>
            </w:r>
          </w:p>
        </w:tc>
        <w:tc>
          <w:tcPr>
            <w:tcW w:w="1215" w:type="dxa"/>
            <w:vAlign w:val="bottom"/>
          </w:tcPr>
          <w:p w14:paraId="44F14BEC" w14:textId="545216B8" w:rsidR="00F142FC" w:rsidRDefault="00F142FC" w:rsidP="00505CB9">
            <w:pPr>
              <w:ind w:firstLine="0"/>
              <w:jc w:val="right"/>
            </w:pPr>
            <w:r>
              <w:rPr>
                <w:rFonts w:ascii="Calibri" w:hAnsi="Calibri"/>
                <w:color w:val="000000"/>
                <w:sz w:val="22"/>
                <w:szCs w:val="22"/>
              </w:rPr>
              <w:t xml:space="preserve">63 721 </w:t>
            </w:r>
          </w:p>
        </w:tc>
        <w:tc>
          <w:tcPr>
            <w:tcW w:w="1206" w:type="dxa"/>
            <w:vAlign w:val="bottom"/>
          </w:tcPr>
          <w:p w14:paraId="77FA8734" w14:textId="6167089A" w:rsidR="00F142FC" w:rsidRDefault="00F142FC" w:rsidP="00505CB9">
            <w:pPr>
              <w:ind w:firstLine="0"/>
              <w:jc w:val="right"/>
            </w:pPr>
            <w:r>
              <w:rPr>
                <w:rFonts w:ascii="Calibri" w:hAnsi="Calibri"/>
                <w:color w:val="000000"/>
                <w:sz w:val="22"/>
                <w:szCs w:val="22"/>
              </w:rPr>
              <w:t xml:space="preserve">191 162 </w:t>
            </w:r>
          </w:p>
        </w:tc>
      </w:tr>
      <w:tr w:rsidR="00F142FC" w14:paraId="53FDD3FE" w14:textId="77777777" w:rsidTr="00F142FC">
        <w:tc>
          <w:tcPr>
            <w:tcW w:w="1242" w:type="dxa"/>
            <w:vAlign w:val="bottom"/>
          </w:tcPr>
          <w:p w14:paraId="6AC30104" w14:textId="558788F0" w:rsidR="00F142FC" w:rsidRDefault="00F142FC" w:rsidP="00F142FC">
            <w:pPr>
              <w:ind w:firstLine="0"/>
            </w:pPr>
            <w:r>
              <w:t>Asistenti</w:t>
            </w:r>
          </w:p>
        </w:tc>
        <w:tc>
          <w:tcPr>
            <w:tcW w:w="1198" w:type="dxa"/>
            <w:vAlign w:val="bottom"/>
          </w:tcPr>
          <w:p w14:paraId="560AF17C" w14:textId="7D00D577" w:rsidR="00F142FC" w:rsidRDefault="00F142FC" w:rsidP="00F142FC">
            <w:pPr>
              <w:ind w:firstLine="0"/>
              <w:jc w:val="right"/>
            </w:pPr>
            <w:r>
              <w:rPr>
                <w:rFonts w:ascii="Calibri" w:hAnsi="Calibri"/>
                <w:color w:val="000000"/>
                <w:sz w:val="22"/>
                <w:szCs w:val="22"/>
              </w:rPr>
              <w:t>3,5</w:t>
            </w:r>
          </w:p>
        </w:tc>
        <w:tc>
          <w:tcPr>
            <w:tcW w:w="1210" w:type="dxa"/>
            <w:vAlign w:val="bottom"/>
          </w:tcPr>
          <w:p w14:paraId="7CDF05A0" w14:textId="33B7CA0C" w:rsidR="00F142FC" w:rsidRDefault="00F142FC" w:rsidP="00505CB9">
            <w:pPr>
              <w:ind w:firstLine="0"/>
              <w:jc w:val="right"/>
            </w:pPr>
            <w:r>
              <w:rPr>
                <w:rFonts w:ascii="Calibri" w:hAnsi="Calibri"/>
                <w:color w:val="000000"/>
                <w:sz w:val="22"/>
                <w:szCs w:val="22"/>
              </w:rPr>
              <w:t xml:space="preserve">2 322 </w:t>
            </w:r>
          </w:p>
        </w:tc>
        <w:tc>
          <w:tcPr>
            <w:tcW w:w="1213" w:type="dxa"/>
            <w:vAlign w:val="bottom"/>
          </w:tcPr>
          <w:p w14:paraId="12E7B454" w14:textId="0A8B8032" w:rsidR="00F142FC" w:rsidRDefault="00F142FC" w:rsidP="00505CB9">
            <w:pPr>
              <w:ind w:firstLine="0"/>
              <w:jc w:val="right"/>
            </w:pPr>
            <w:r>
              <w:rPr>
                <w:rFonts w:ascii="Calibri" w:hAnsi="Calibri"/>
                <w:color w:val="000000"/>
                <w:sz w:val="22"/>
                <w:szCs w:val="22"/>
              </w:rPr>
              <w:t xml:space="preserve">34 444 </w:t>
            </w:r>
          </w:p>
        </w:tc>
        <w:tc>
          <w:tcPr>
            <w:tcW w:w="1636" w:type="dxa"/>
            <w:vAlign w:val="bottom"/>
          </w:tcPr>
          <w:p w14:paraId="5DFDAEE4" w14:textId="6457196D" w:rsidR="00F142FC" w:rsidRDefault="00F142FC" w:rsidP="00505CB9">
            <w:pPr>
              <w:ind w:firstLine="0"/>
              <w:jc w:val="right"/>
            </w:pPr>
            <w:r>
              <w:rPr>
                <w:rFonts w:ascii="Calibri" w:hAnsi="Calibri"/>
                <w:color w:val="000000"/>
                <w:sz w:val="22"/>
                <w:szCs w:val="22"/>
              </w:rPr>
              <w:t xml:space="preserve">16 533 </w:t>
            </w:r>
          </w:p>
        </w:tc>
        <w:tc>
          <w:tcPr>
            <w:tcW w:w="1215" w:type="dxa"/>
            <w:vAlign w:val="bottom"/>
          </w:tcPr>
          <w:p w14:paraId="682B3964" w14:textId="5DB3571D" w:rsidR="00F142FC" w:rsidRDefault="00F142FC" w:rsidP="00505CB9">
            <w:pPr>
              <w:ind w:firstLine="0"/>
              <w:jc w:val="right"/>
            </w:pPr>
            <w:r>
              <w:rPr>
                <w:rFonts w:ascii="Calibri" w:hAnsi="Calibri"/>
                <w:color w:val="000000"/>
                <w:sz w:val="22"/>
                <w:szCs w:val="22"/>
              </w:rPr>
              <w:t xml:space="preserve">50 976 </w:t>
            </w:r>
          </w:p>
        </w:tc>
        <w:tc>
          <w:tcPr>
            <w:tcW w:w="1206" w:type="dxa"/>
            <w:vAlign w:val="bottom"/>
          </w:tcPr>
          <w:p w14:paraId="5D45A5FD" w14:textId="729A48AE" w:rsidR="00F142FC" w:rsidRDefault="00F142FC" w:rsidP="00505CB9">
            <w:pPr>
              <w:ind w:firstLine="0"/>
              <w:jc w:val="right"/>
            </w:pPr>
            <w:r>
              <w:rPr>
                <w:rFonts w:ascii="Calibri" w:hAnsi="Calibri"/>
                <w:color w:val="000000"/>
                <w:sz w:val="22"/>
                <w:szCs w:val="22"/>
              </w:rPr>
              <w:t xml:space="preserve">178 417 </w:t>
            </w:r>
          </w:p>
        </w:tc>
      </w:tr>
      <w:tr w:rsidR="00F142FC" w14:paraId="15327A98" w14:textId="77777777" w:rsidTr="00F142FC">
        <w:tc>
          <w:tcPr>
            <w:tcW w:w="1242" w:type="dxa"/>
            <w:vAlign w:val="bottom"/>
          </w:tcPr>
          <w:p w14:paraId="78FF9BEB" w14:textId="332EAD2D" w:rsidR="00F142FC" w:rsidRPr="0034451B" w:rsidRDefault="00F142FC" w:rsidP="00F142FC">
            <w:pPr>
              <w:ind w:firstLine="0"/>
              <w:rPr>
                <w:rFonts w:ascii="Calibri" w:hAnsi="Calibri"/>
                <w:color w:val="000000"/>
                <w:sz w:val="22"/>
                <w:szCs w:val="22"/>
              </w:rPr>
            </w:pPr>
            <w:r>
              <w:rPr>
                <w:rFonts w:ascii="Calibri" w:hAnsi="Calibri"/>
                <w:b/>
                <w:bCs/>
                <w:color w:val="000000"/>
                <w:sz w:val="22"/>
                <w:szCs w:val="22"/>
              </w:rPr>
              <w:t>Kopā</w:t>
            </w:r>
          </w:p>
        </w:tc>
        <w:tc>
          <w:tcPr>
            <w:tcW w:w="1198" w:type="dxa"/>
            <w:vAlign w:val="bottom"/>
          </w:tcPr>
          <w:p w14:paraId="010D750B" w14:textId="11328EA4" w:rsidR="00F142FC" w:rsidRDefault="00F142FC" w:rsidP="00F142FC">
            <w:pPr>
              <w:ind w:firstLine="0"/>
              <w:jc w:val="right"/>
              <w:rPr>
                <w:rFonts w:ascii="Calibri" w:hAnsi="Calibri"/>
                <w:color w:val="000000"/>
                <w:sz w:val="22"/>
                <w:szCs w:val="22"/>
              </w:rPr>
            </w:pPr>
            <w:r>
              <w:rPr>
                <w:rFonts w:ascii="Calibri" w:hAnsi="Calibri"/>
                <w:color w:val="000000"/>
                <w:sz w:val="22"/>
                <w:szCs w:val="22"/>
              </w:rPr>
              <w:t>10</w:t>
            </w:r>
          </w:p>
        </w:tc>
        <w:tc>
          <w:tcPr>
            <w:tcW w:w="1210" w:type="dxa"/>
            <w:vAlign w:val="bottom"/>
          </w:tcPr>
          <w:p w14:paraId="7C4FE568" w14:textId="37F6D10C" w:rsidR="00F142FC" w:rsidRDefault="00F142FC" w:rsidP="00505CB9">
            <w:pPr>
              <w:ind w:firstLine="0"/>
              <w:jc w:val="right"/>
              <w:rPr>
                <w:rFonts w:ascii="Calibri" w:hAnsi="Calibri"/>
                <w:color w:val="000000"/>
                <w:sz w:val="22"/>
                <w:szCs w:val="22"/>
              </w:rPr>
            </w:pPr>
            <w:r>
              <w:rPr>
                <w:rFonts w:ascii="Calibri" w:hAnsi="Calibri"/>
                <w:color w:val="000000"/>
                <w:sz w:val="22"/>
                <w:szCs w:val="22"/>
              </w:rPr>
              <w:t xml:space="preserve">13 390 </w:t>
            </w:r>
          </w:p>
        </w:tc>
        <w:tc>
          <w:tcPr>
            <w:tcW w:w="1213" w:type="dxa"/>
            <w:vAlign w:val="bottom"/>
          </w:tcPr>
          <w:p w14:paraId="2020D2C0" w14:textId="2B82E42C" w:rsidR="00F142FC" w:rsidRDefault="00F142FC" w:rsidP="00505CB9">
            <w:pPr>
              <w:ind w:firstLine="0"/>
              <w:jc w:val="right"/>
              <w:rPr>
                <w:rFonts w:ascii="Calibri" w:hAnsi="Calibri"/>
                <w:color w:val="000000"/>
                <w:sz w:val="22"/>
                <w:szCs w:val="22"/>
              </w:rPr>
            </w:pPr>
            <w:r>
              <w:rPr>
                <w:rFonts w:ascii="Calibri" w:hAnsi="Calibri"/>
                <w:color w:val="000000"/>
                <w:sz w:val="22"/>
                <w:szCs w:val="22"/>
              </w:rPr>
              <w:t xml:space="preserve">198 588 </w:t>
            </w:r>
          </w:p>
        </w:tc>
        <w:tc>
          <w:tcPr>
            <w:tcW w:w="1636" w:type="dxa"/>
            <w:vAlign w:val="bottom"/>
          </w:tcPr>
          <w:p w14:paraId="2641DA75" w14:textId="46611215" w:rsidR="00F142FC" w:rsidRDefault="00F142FC" w:rsidP="00505CB9">
            <w:pPr>
              <w:ind w:firstLine="0"/>
              <w:jc w:val="right"/>
              <w:rPr>
                <w:rFonts w:ascii="Calibri" w:hAnsi="Calibri"/>
                <w:color w:val="000000"/>
                <w:sz w:val="22"/>
                <w:szCs w:val="22"/>
              </w:rPr>
            </w:pPr>
            <w:r>
              <w:rPr>
                <w:rFonts w:ascii="Calibri" w:hAnsi="Calibri"/>
                <w:color w:val="000000"/>
                <w:sz w:val="22"/>
                <w:szCs w:val="22"/>
              </w:rPr>
              <w:t xml:space="preserve">95 322 </w:t>
            </w:r>
          </w:p>
        </w:tc>
        <w:tc>
          <w:tcPr>
            <w:tcW w:w="1215" w:type="dxa"/>
            <w:vAlign w:val="bottom"/>
          </w:tcPr>
          <w:p w14:paraId="476671A7" w14:textId="7B19C30B" w:rsidR="00F142FC" w:rsidRDefault="00F142FC" w:rsidP="00505CB9">
            <w:pPr>
              <w:ind w:firstLine="0"/>
              <w:jc w:val="right"/>
              <w:rPr>
                <w:rFonts w:ascii="Calibri" w:hAnsi="Calibri"/>
                <w:color w:val="000000"/>
                <w:sz w:val="22"/>
                <w:szCs w:val="22"/>
              </w:rPr>
            </w:pPr>
            <w:r>
              <w:rPr>
                <w:rFonts w:ascii="Calibri" w:hAnsi="Calibri"/>
                <w:color w:val="000000"/>
                <w:sz w:val="22"/>
                <w:szCs w:val="22"/>
              </w:rPr>
              <w:t xml:space="preserve">293 911 </w:t>
            </w:r>
          </w:p>
        </w:tc>
        <w:tc>
          <w:tcPr>
            <w:tcW w:w="1206" w:type="dxa"/>
            <w:vAlign w:val="bottom"/>
          </w:tcPr>
          <w:p w14:paraId="4022E185" w14:textId="1C102E7F" w:rsidR="00F142FC" w:rsidRDefault="00F142FC" w:rsidP="00505CB9">
            <w:pPr>
              <w:ind w:firstLine="0"/>
              <w:jc w:val="right"/>
              <w:rPr>
                <w:rFonts w:ascii="Calibri" w:hAnsi="Calibri"/>
                <w:color w:val="000000"/>
                <w:sz w:val="22"/>
                <w:szCs w:val="22"/>
              </w:rPr>
            </w:pPr>
            <w:r>
              <w:rPr>
                <w:rFonts w:ascii="Calibri" w:hAnsi="Calibri"/>
                <w:b/>
                <w:bCs/>
                <w:color w:val="000000"/>
                <w:sz w:val="22"/>
                <w:szCs w:val="22"/>
              </w:rPr>
              <w:t xml:space="preserve">668 269 </w:t>
            </w:r>
          </w:p>
        </w:tc>
      </w:tr>
    </w:tbl>
    <w:p w14:paraId="6EA7EB4B" w14:textId="75587D57" w:rsidR="00A621EA" w:rsidRDefault="00A621EA" w:rsidP="00002AC7">
      <w:pPr>
        <w:ind w:firstLine="0"/>
      </w:pPr>
    </w:p>
    <w:p w14:paraId="23F0F010" w14:textId="77777777" w:rsidR="00BD6201" w:rsidRDefault="00002AC7" w:rsidP="00002AC7">
      <w:pPr>
        <w:ind w:firstLine="0"/>
      </w:pPr>
      <w:r>
        <w:tab/>
        <w:t xml:space="preserve">Attiecīgi, reizinot šīs izmaksas ar </w:t>
      </w:r>
      <w:r w:rsidR="002E7974">
        <w:t>Ministru kabineta 2006. gada 12. decembra Noteikumos Nr. 994 “Kārtība, kādā augstskolas un koledžas tiek finansētas no valsts budžeta līdzekļiem”</w:t>
      </w:r>
      <w:r w:rsidR="00A23504">
        <w:t xml:space="preserve"> 2. pielikumā esošajiem studiju izmaksu koeficientiem, ir iespējams</w:t>
      </w:r>
      <w:r w:rsidR="002E7974">
        <w:t xml:space="preserve"> </w:t>
      </w:r>
      <w:r w:rsidR="00705C6E">
        <w:t xml:space="preserve">iegūt akadēmiskā personāla “komplekta” izmaksas dažādās tematiskajās jomās, atkarībā no to </w:t>
      </w:r>
      <w:proofErr w:type="spellStart"/>
      <w:r w:rsidR="00705C6E">
        <w:t>resursietilpības</w:t>
      </w:r>
      <w:proofErr w:type="spellEnd"/>
      <w:r w:rsidR="00705C6E">
        <w:t xml:space="preserve">. </w:t>
      </w:r>
    </w:p>
    <w:p w14:paraId="737D2BDC" w14:textId="0D5CEB4C" w:rsidR="007A30BC" w:rsidRDefault="007A30BC" w:rsidP="00002AC7">
      <w:pPr>
        <w:ind w:firstLine="0"/>
      </w:pPr>
      <w:r>
        <w:tab/>
        <w:t>Pārejot uz jaunu aprēķina kārtību, iestādēm netiks sam</w:t>
      </w:r>
      <w:r w:rsidR="00621C4B">
        <w:t>a</w:t>
      </w:r>
      <w:r>
        <w:t xml:space="preserve">zināts esošais finansējums un </w:t>
      </w:r>
      <w:r w:rsidR="00621C4B">
        <w:t xml:space="preserve">netiks noteikta prasība nodrošināt pilnu “komplektu” esošā finansējuma ietvaros. Šī komplekta mērķis ir radīt </w:t>
      </w:r>
      <w:r w:rsidR="00553924">
        <w:t>AII</w:t>
      </w:r>
      <w:r w:rsidR="00621C4B">
        <w:t xml:space="preserve"> </w:t>
      </w:r>
      <w:r w:rsidR="00A54BE4">
        <w:t xml:space="preserve">izmaksu grozu, kas tiktu izmantots par pamatu izmaksu aktualizācijas, izrietot no </w:t>
      </w:r>
      <w:r w:rsidR="00985C9B">
        <w:t>izmaiņām sagaidāmajās izmaksās.</w:t>
      </w:r>
    </w:p>
    <w:p w14:paraId="05DEF9BD" w14:textId="01A14C18" w:rsidR="00002AC7" w:rsidRPr="002A7D65" w:rsidRDefault="00705C6E" w:rsidP="00002AC7">
      <w:pPr>
        <w:ind w:firstLine="0"/>
      </w:pPr>
      <w:r>
        <w:t xml:space="preserve"> </w:t>
      </w:r>
    </w:p>
    <w:p w14:paraId="5501A556" w14:textId="77777777" w:rsidR="009C58E7" w:rsidRPr="002A7D65" w:rsidRDefault="009C58E7" w:rsidP="009C58E7"/>
    <w:p w14:paraId="623ED463" w14:textId="6CA9823E" w:rsidR="00463AEA" w:rsidRDefault="009C58E7" w:rsidP="004E2733">
      <w:pPr>
        <w:pStyle w:val="Heading3"/>
      </w:pPr>
      <w:bookmarkStart w:id="18" w:name="_Toc167452323"/>
      <w:r w:rsidRPr="002A7D65">
        <w:t>Snieguma finansējums</w:t>
      </w:r>
      <w:bookmarkEnd w:id="18"/>
    </w:p>
    <w:p w14:paraId="6D885214" w14:textId="4B0B52F5" w:rsidR="00C24680" w:rsidRPr="00C24680" w:rsidRDefault="00C24680" w:rsidP="00491B9A">
      <w:pPr>
        <w:pStyle w:val="Heading4"/>
      </w:pPr>
      <w:r>
        <w:t>Studiju snieguma finansējums</w:t>
      </w:r>
    </w:p>
    <w:p w14:paraId="1119ABF1" w14:textId="6906238A" w:rsidR="00C24680" w:rsidRPr="00616E89" w:rsidRDefault="00C24680" w:rsidP="008F57D7">
      <w:pPr>
        <w:rPr>
          <w:rFonts w:cstheme="minorHAnsi"/>
        </w:rPr>
      </w:pPr>
      <w:r w:rsidRPr="00616E89">
        <w:rPr>
          <w:rFonts w:cstheme="minorHAnsi"/>
        </w:rPr>
        <w:t xml:space="preserve">Nepieciešams pilnveidot augstākās izglītības finansēšanas sistēmu, lai sekmētu tās kvalitāti un atbilstošu speciālistu sagatavošanu. I pīlārs ir institucionālais finansējums, II pīlārs ir </w:t>
      </w:r>
      <w:r w:rsidR="008F57D7">
        <w:rPr>
          <w:rFonts w:cstheme="minorHAnsi"/>
        </w:rPr>
        <w:t>AII</w:t>
      </w:r>
      <w:r w:rsidRPr="00616E89">
        <w:rPr>
          <w:rFonts w:cstheme="minorHAnsi"/>
        </w:rPr>
        <w:t xml:space="preserve"> snieguma finansējums. </w:t>
      </w:r>
    </w:p>
    <w:p w14:paraId="12F3E239" w14:textId="02E8EA65" w:rsidR="00305FF8" w:rsidRPr="00305FF8" w:rsidRDefault="00C24680" w:rsidP="003832CE">
      <w:pPr>
        <w:rPr>
          <w:rFonts w:cstheme="minorHAnsi"/>
        </w:rPr>
      </w:pPr>
      <w:r w:rsidRPr="00616E89">
        <w:rPr>
          <w:rFonts w:cstheme="minorHAnsi"/>
        </w:rPr>
        <w:t>II pīlārā</w:t>
      </w:r>
      <w:r>
        <w:rPr>
          <w:rFonts w:cstheme="minorHAnsi"/>
        </w:rPr>
        <w:t xml:space="preserve"> 2023. gadā</w:t>
      </w:r>
      <w:r w:rsidR="00174657">
        <w:rPr>
          <w:rFonts w:cstheme="minorHAnsi"/>
        </w:rPr>
        <w:t xml:space="preserve"> un turpmāk</w:t>
      </w:r>
      <w:r w:rsidR="00305FF8">
        <w:rPr>
          <w:rFonts w:cstheme="minorHAnsi"/>
        </w:rPr>
        <w:t xml:space="preserve"> IZM</w:t>
      </w:r>
      <w:r w:rsidR="001F7369">
        <w:rPr>
          <w:rFonts w:cstheme="minorHAnsi"/>
        </w:rPr>
        <w:t xml:space="preserve"> </w:t>
      </w:r>
      <w:r w:rsidR="00C91798">
        <w:rPr>
          <w:rFonts w:cstheme="minorHAnsi"/>
        </w:rPr>
        <w:t>budžeta apakšprogrammai</w:t>
      </w:r>
      <w:r w:rsidR="001F7369">
        <w:rPr>
          <w:rFonts w:cstheme="minorHAnsi"/>
        </w:rPr>
        <w:t xml:space="preserve"> </w:t>
      </w:r>
      <w:r w:rsidR="001F7369" w:rsidRPr="001F7369">
        <w:rPr>
          <w:rFonts w:cstheme="minorHAnsi"/>
        </w:rPr>
        <w:t xml:space="preserve">03.03.00 </w:t>
      </w:r>
      <w:r w:rsidR="001F7369">
        <w:rPr>
          <w:rFonts w:cstheme="minorHAnsi"/>
        </w:rPr>
        <w:t>“</w:t>
      </w:r>
      <w:r w:rsidR="001F7369" w:rsidRPr="001F7369">
        <w:rPr>
          <w:rFonts w:cstheme="minorHAnsi"/>
        </w:rPr>
        <w:t>Zinātniskās darbības attīstība augstskolās un koledžās</w:t>
      </w:r>
      <w:r w:rsidR="001F7369">
        <w:rPr>
          <w:rFonts w:cstheme="minorHAnsi"/>
        </w:rPr>
        <w:t>”</w:t>
      </w:r>
      <w:r w:rsidR="00305FF8">
        <w:rPr>
          <w:rFonts w:cstheme="minorHAnsi"/>
        </w:rPr>
        <w:t xml:space="preserve"> piešķīra</w:t>
      </w:r>
      <w:r w:rsidRPr="00616E89">
        <w:rPr>
          <w:rFonts w:cstheme="minorHAnsi"/>
        </w:rPr>
        <w:t xml:space="preserve"> papildu 6,7. milj. </w:t>
      </w:r>
      <w:r w:rsidR="00C16B07" w:rsidRPr="00C16B07">
        <w:rPr>
          <w:rFonts w:cstheme="minorHAnsi"/>
          <w:i/>
          <w:iCs/>
        </w:rPr>
        <w:t>euro</w:t>
      </w:r>
      <w:r w:rsidRPr="00616E89">
        <w:rPr>
          <w:rFonts w:cstheme="minorHAnsi"/>
        </w:rPr>
        <w:t xml:space="preserve"> gadā</w:t>
      </w:r>
      <w:r w:rsidR="006D57BF">
        <w:rPr>
          <w:rFonts w:cstheme="minorHAnsi"/>
        </w:rPr>
        <w:t xml:space="preserve"> saskaņā ar 2023.gada budžeta veidošanas procesā atbalstīto prioritāro pasākumu “Augstākā izglītība”</w:t>
      </w:r>
      <w:r w:rsidRPr="00616E89">
        <w:rPr>
          <w:rFonts w:cstheme="minorHAnsi"/>
        </w:rPr>
        <w:t xml:space="preserve"> </w:t>
      </w:r>
      <w:r w:rsidR="006D57BF">
        <w:rPr>
          <w:rFonts w:cstheme="minorHAnsi"/>
        </w:rPr>
        <w:t>ar ko ministrija ieviesa</w:t>
      </w:r>
      <w:r w:rsidRPr="00616E89">
        <w:rPr>
          <w:rFonts w:cstheme="minorHAnsi"/>
        </w:rPr>
        <w:t xml:space="preserve"> jaunus snieguma rādītājus – absolventu skaits prioritārās jomās un absolventu nodarbinātības kvalitāte. Šo izmaiņu mērķis ir radīt skaidru signālu augstākās izglītības iestādēm par to lomu valstij nepieciešamo ekspertu sagatavošanā un šīs lomas pienācīga atalgošana</w:t>
      </w:r>
      <w:r w:rsidR="003832CE">
        <w:rPr>
          <w:rFonts w:cstheme="minorHAnsi"/>
        </w:rPr>
        <w:t>.</w:t>
      </w:r>
    </w:p>
    <w:p w14:paraId="20ED484C" w14:textId="3E0D53E8" w:rsidR="00D13BBB" w:rsidRDefault="00C24680" w:rsidP="00C42085">
      <w:pPr>
        <w:rPr>
          <w:rFonts w:cstheme="minorBidi"/>
        </w:rPr>
      </w:pPr>
      <w:r>
        <w:rPr>
          <w:rFonts w:cstheme="minorBidi"/>
        </w:rPr>
        <w:t xml:space="preserve">Tomēr ir nepieciešams turpināt attīstīt kritēriju sistēmu, lai veicinātu </w:t>
      </w:r>
      <w:r w:rsidRPr="00EB2F6D">
        <w:rPr>
          <w:rFonts w:cstheme="minorBidi"/>
        </w:rPr>
        <w:t>Latvijas augstākās izglītības iestāžu konkurētspējas palielināšan</w:t>
      </w:r>
      <w:r>
        <w:rPr>
          <w:rFonts w:cstheme="minorBidi"/>
        </w:rPr>
        <w:t>u. Sākot ar 2024. gadu, valsts budžetā ir paredzēts papildu finansējums</w:t>
      </w:r>
      <w:r w:rsidR="005B0D39">
        <w:rPr>
          <w:rFonts w:cstheme="minorBidi"/>
        </w:rPr>
        <w:t xml:space="preserve"> snieguma finansējuma pieaugumam. Ņemot vērā</w:t>
      </w:r>
      <w:r w:rsidR="00123E86">
        <w:rPr>
          <w:rFonts w:cstheme="minorBidi"/>
        </w:rPr>
        <w:t xml:space="preserve"> jaunās finansēšanas pieejas uzsvaru uz rezultātu un absolventu sagatavošanu, jaunais finansējums būtu </w:t>
      </w:r>
      <w:r w:rsidR="005E65DD">
        <w:rPr>
          <w:rFonts w:cstheme="minorBidi"/>
        </w:rPr>
        <w:t>piešķirams jau esošajam kritērijam, kas paredz finansējumu par katru sagatavoto absolventu</w:t>
      </w:r>
      <w:r w:rsidR="00C42085">
        <w:rPr>
          <w:rFonts w:cstheme="minorBidi"/>
        </w:rPr>
        <w:t>, ņemot vērā jomas izmaksas un darba tirgus pieprasījumu</w:t>
      </w:r>
      <w:r w:rsidR="006C600D">
        <w:rPr>
          <w:rFonts w:cstheme="minorBidi"/>
        </w:rPr>
        <w:t xml:space="preserve">, </w:t>
      </w:r>
      <w:r w:rsidR="005F1ED1">
        <w:rPr>
          <w:rFonts w:cstheme="minorBidi"/>
        </w:rPr>
        <w:t>kā arī</w:t>
      </w:r>
      <w:r w:rsidR="006C600D">
        <w:rPr>
          <w:rFonts w:cstheme="minorBidi"/>
        </w:rPr>
        <w:t xml:space="preserve"> </w:t>
      </w:r>
      <w:proofErr w:type="spellStart"/>
      <w:r w:rsidR="006C600D">
        <w:rPr>
          <w:rFonts w:cstheme="minorBidi"/>
        </w:rPr>
        <w:lastRenderedPageBreak/>
        <w:t>mikrokvalifikāciju</w:t>
      </w:r>
      <w:proofErr w:type="spellEnd"/>
      <w:r w:rsidR="006C600D">
        <w:rPr>
          <w:rFonts w:cstheme="minorBidi"/>
        </w:rPr>
        <w:t xml:space="preserve"> </w:t>
      </w:r>
      <w:proofErr w:type="spellStart"/>
      <w:r w:rsidR="006C600D">
        <w:rPr>
          <w:rFonts w:cstheme="minorBidi"/>
        </w:rPr>
        <w:t>izmēģinājumprojektam</w:t>
      </w:r>
      <w:proofErr w:type="spellEnd"/>
      <w:r w:rsidR="00C42085">
        <w:rPr>
          <w:rFonts w:cstheme="minorBidi"/>
        </w:rPr>
        <w:t>. Šāds kritērijs</w:t>
      </w:r>
      <w:r w:rsidR="00C33A47">
        <w:rPr>
          <w:rFonts w:cstheme="minorBidi"/>
        </w:rPr>
        <w:t xml:space="preserve"> nodrošina to, ka augstākās izglītības iestādēm aizvien lielāka daļa no finansējuma tiek piešķirta balsoties uz sagatavoto absolventu skaitu un to pieprasījumu darba tirgū.</w:t>
      </w:r>
      <w:r w:rsidR="00C42085">
        <w:rPr>
          <w:rFonts w:cstheme="minorBidi"/>
        </w:rPr>
        <w:t xml:space="preserve"> </w:t>
      </w:r>
    </w:p>
    <w:p w14:paraId="1386CF0E" w14:textId="510159E0" w:rsidR="00C24680" w:rsidRPr="00EB2F6D" w:rsidRDefault="005B774D" w:rsidP="00D13BBB">
      <w:pPr>
        <w:ind w:firstLine="0"/>
        <w:rPr>
          <w:rFonts w:cstheme="minorBidi"/>
        </w:rPr>
      </w:pPr>
      <w:r>
        <w:rPr>
          <w:rFonts w:cstheme="minorBidi"/>
        </w:rPr>
        <w:t>Savukārt nākotnē būtu jāturpina palielināt snieguma finansējuma īpatsvars, lai tas sasniegtu vismaz 20% no I pīlāra finansējuma</w:t>
      </w:r>
      <w:r w:rsidR="005E04CC">
        <w:rPr>
          <w:rFonts w:cstheme="minorBidi"/>
        </w:rPr>
        <w:t>, nesamazinot I pīlāra finansējuma apmēru</w:t>
      </w:r>
      <w:r>
        <w:rPr>
          <w:rFonts w:cstheme="minorBidi"/>
        </w:rPr>
        <w:t>. N</w:t>
      </w:r>
      <w:r w:rsidR="00D13BBB">
        <w:rPr>
          <w:rFonts w:cstheme="minorBidi"/>
        </w:rPr>
        <w:t>ākotnes mērķi</w:t>
      </w:r>
      <w:r w:rsidR="00C24680">
        <w:rPr>
          <w:rFonts w:cstheme="minorBidi"/>
        </w:rPr>
        <w:t>, kas</w:t>
      </w:r>
      <w:r w:rsidR="00D13BBB">
        <w:rPr>
          <w:rFonts w:cstheme="minorBidi"/>
        </w:rPr>
        <w:t xml:space="preserve"> būtu jāstimulē</w:t>
      </w:r>
      <w:r w:rsidR="00C24680">
        <w:rPr>
          <w:rFonts w:cstheme="minorBidi"/>
        </w:rPr>
        <w:t>, ir</w:t>
      </w:r>
      <w:r w:rsidR="00C24680" w:rsidRPr="00EB2F6D">
        <w:rPr>
          <w:rFonts w:cstheme="minorBidi"/>
        </w:rPr>
        <w:t>:</w:t>
      </w:r>
    </w:p>
    <w:p w14:paraId="35C20987" w14:textId="47216843" w:rsidR="00C24680" w:rsidRPr="00EB2F6D" w:rsidRDefault="00C24680" w:rsidP="00C24680">
      <w:pPr>
        <w:rPr>
          <w:rFonts w:cstheme="minorBidi"/>
        </w:rPr>
      </w:pPr>
      <w:r w:rsidRPr="00EB2F6D">
        <w:rPr>
          <w:rFonts w:cstheme="minorBidi"/>
        </w:rPr>
        <w:t>1)</w:t>
      </w:r>
      <w:r w:rsidR="003E3F22">
        <w:rPr>
          <w:rFonts w:cstheme="minorBidi"/>
        </w:rPr>
        <w:t xml:space="preserve"> </w:t>
      </w:r>
      <w:r w:rsidR="0014163E">
        <w:rPr>
          <w:rFonts w:cstheme="minorBidi"/>
        </w:rPr>
        <w:t xml:space="preserve">studiju </w:t>
      </w:r>
      <w:r w:rsidR="005F1ED1">
        <w:rPr>
          <w:rFonts w:cstheme="minorBidi"/>
        </w:rPr>
        <w:t>iz</w:t>
      </w:r>
      <w:r w:rsidR="0014163E">
        <w:rPr>
          <w:rFonts w:cstheme="minorBidi"/>
        </w:rPr>
        <w:t>maks</w:t>
      </w:r>
      <w:r w:rsidR="005F1ED1">
        <w:rPr>
          <w:rFonts w:cstheme="minorBidi"/>
        </w:rPr>
        <w:t>u</w:t>
      </w:r>
      <w:r w:rsidR="0014163E">
        <w:rPr>
          <w:rFonts w:cstheme="minorBidi"/>
        </w:rPr>
        <w:t xml:space="preserve"> un atalgojuma samērīgums</w:t>
      </w:r>
      <w:r w:rsidRPr="00EB2F6D">
        <w:rPr>
          <w:rFonts w:cstheme="minorBidi"/>
        </w:rPr>
        <w:t>;</w:t>
      </w:r>
    </w:p>
    <w:p w14:paraId="6FF457C8" w14:textId="77777777" w:rsidR="00C24680" w:rsidRPr="00EB2F6D" w:rsidRDefault="00C24680" w:rsidP="00C24680">
      <w:pPr>
        <w:rPr>
          <w:rFonts w:cstheme="minorBidi"/>
        </w:rPr>
      </w:pPr>
      <w:r>
        <w:rPr>
          <w:rFonts w:cstheme="minorBidi"/>
        </w:rPr>
        <w:t>2</w:t>
      </w:r>
      <w:r w:rsidRPr="00EB2F6D">
        <w:rPr>
          <w:rFonts w:cstheme="minorBidi"/>
        </w:rPr>
        <w:t>) akadēmiskā personāla un studējošo internacionalizācij</w:t>
      </w:r>
      <w:r>
        <w:rPr>
          <w:rFonts w:cstheme="minorBidi"/>
        </w:rPr>
        <w:t>a</w:t>
      </w:r>
      <w:r w:rsidRPr="00EB2F6D">
        <w:rPr>
          <w:rFonts w:cstheme="minorBidi"/>
        </w:rPr>
        <w:t>;</w:t>
      </w:r>
    </w:p>
    <w:p w14:paraId="0CF56489" w14:textId="2CFB6ECF" w:rsidR="00C24680" w:rsidRDefault="00C24680" w:rsidP="00305FF8">
      <w:pPr>
        <w:rPr>
          <w:rFonts w:cstheme="minorBidi"/>
        </w:rPr>
      </w:pPr>
      <w:r>
        <w:rPr>
          <w:rFonts w:cstheme="minorBidi"/>
        </w:rPr>
        <w:t>3</w:t>
      </w:r>
      <w:r w:rsidRPr="00EB2F6D">
        <w:rPr>
          <w:rFonts w:cstheme="minorBidi"/>
        </w:rPr>
        <w:t xml:space="preserve">) </w:t>
      </w:r>
      <w:r w:rsidR="00553924">
        <w:rPr>
          <w:rFonts w:cstheme="minorBidi"/>
        </w:rPr>
        <w:t>AII</w:t>
      </w:r>
      <w:r w:rsidRPr="00EB2F6D">
        <w:rPr>
          <w:rFonts w:cstheme="minorBidi"/>
        </w:rPr>
        <w:t xml:space="preserve"> iesaist</w:t>
      </w:r>
      <w:r>
        <w:rPr>
          <w:rFonts w:cstheme="minorBidi"/>
        </w:rPr>
        <w:t>e</w:t>
      </w:r>
      <w:r w:rsidRPr="00EB2F6D">
        <w:rPr>
          <w:rFonts w:cstheme="minorBidi"/>
        </w:rPr>
        <w:t xml:space="preserve"> tālākizglītībā</w:t>
      </w:r>
      <w:r w:rsidR="005F1ED1">
        <w:rPr>
          <w:rFonts w:cstheme="minorBidi"/>
        </w:rPr>
        <w:t xml:space="preserve">, kura rādītājus noteiks </w:t>
      </w:r>
      <w:proofErr w:type="spellStart"/>
      <w:r w:rsidR="005F1ED1">
        <w:rPr>
          <w:rFonts w:cstheme="minorBidi"/>
        </w:rPr>
        <w:t>mikrokvalifikāciju</w:t>
      </w:r>
      <w:proofErr w:type="spellEnd"/>
      <w:r w:rsidR="005F1ED1">
        <w:rPr>
          <w:rFonts w:cstheme="minorBidi"/>
        </w:rPr>
        <w:t xml:space="preserve"> </w:t>
      </w:r>
      <w:proofErr w:type="spellStart"/>
      <w:r w:rsidR="005F1ED1">
        <w:rPr>
          <w:rFonts w:cstheme="minorBidi"/>
        </w:rPr>
        <w:t>izmēģinājumprojekta</w:t>
      </w:r>
      <w:proofErr w:type="spellEnd"/>
      <w:r w:rsidR="005F1ED1">
        <w:rPr>
          <w:rFonts w:cstheme="minorBidi"/>
        </w:rPr>
        <w:t xml:space="preserve"> secinājumi</w:t>
      </w:r>
    </w:p>
    <w:p w14:paraId="3D1E8714" w14:textId="1F989450" w:rsidR="00C24680" w:rsidRDefault="00C24680" w:rsidP="00C24680">
      <w:pPr>
        <w:rPr>
          <w:rFonts w:cstheme="minorBidi"/>
        </w:rPr>
      </w:pPr>
      <w:r w:rsidRPr="00EB2F6D">
        <w:rPr>
          <w:rFonts w:cstheme="minorBidi"/>
        </w:rPr>
        <w:t xml:space="preserve">Snieguma finansējuma lomas palielināšana ir daļa no pakāpeniska </w:t>
      </w:r>
      <w:r w:rsidR="00553924">
        <w:rPr>
          <w:rFonts w:cstheme="minorBidi"/>
        </w:rPr>
        <w:t>AII</w:t>
      </w:r>
      <w:r w:rsidRPr="00EB2F6D">
        <w:rPr>
          <w:rFonts w:cstheme="minorBidi"/>
        </w:rPr>
        <w:t xml:space="preserve"> jauna finansēšanas modeļa ieviešanas, pārejot uz institucionālo finansējumu: panākt fokusa maiņu no liela uzņemto studējošo skaitu</w:t>
      </w:r>
      <w:r>
        <w:rPr>
          <w:rFonts w:cstheme="minorBidi"/>
        </w:rPr>
        <w:t xml:space="preserve"> un ievērojamu atbirumu</w:t>
      </w:r>
      <w:r w:rsidRPr="00EB2F6D">
        <w:rPr>
          <w:rFonts w:cstheme="minorBidi"/>
        </w:rPr>
        <w:t xml:space="preserve"> uz </w:t>
      </w:r>
      <w:r w:rsidR="0016166D" w:rsidRPr="0016166D">
        <w:rPr>
          <w:rFonts w:cstheme="minorBidi"/>
        </w:rPr>
        <w:t>veicināt studējošo atbiruma samazināšanos un absolventa skaita palielināšanos, īpaši Valdības deklarētā mērķa kontekstā - STEM nozarē</w:t>
      </w:r>
      <w:r w:rsidRPr="00EB2F6D">
        <w:rPr>
          <w:rFonts w:cstheme="minorBidi"/>
        </w:rPr>
        <w:t>. Notiks augst</w:t>
      </w:r>
      <w:r>
        <w:rPr>
          <w:rFonts w:cstheme="minorBidi"/>
        </w:rPr>
        <w:t>ākās</w:t>
      </w:r>
      <w:r w:rsidRPr="00EB2F6D">
        <w:rPr>
          <w:rFonts w:cstheme="minorBidi"/>
        </w:rPr>
        <w:t xml:space="preserve"> izglītības kvalitātes prasību paaugstināšana, lai sagatavotu speciālistus, kas ir spējīgi iekļauties un profesionāli pilnveidoties dinamiskajos darba tirgus apstākļos, kā arī akad</w:t>
      </w:r>
      <w:r>
        <w:rPr>
          <w:rFonts w:cstheme="minorBidi"/>
        </w:rPr>
        <w:t>ēmiskā</w:t>
      </w:r>
      <w:r w:rsidRPr="00EB2F6D">
        <w:rPr>
          <w:rFonts w:cstheme="minorBidi"/>
        </w:rPr>
        <w:t xml:space="preserve"> personāla un studējošo internacionalizācija. Tiks ieviesta </w:t>
      </w:r>
      <w:r w:rsidR="004F301C">
        <w:rPr>
          <w:rFonts w:cstheme="minorBidi"/>
        </w:rPr>
        <w:t>AII</w:t>
      </w:r>
      <w:r w:rsidRPr="00EB2F6D">
        <w:rPr>
          <w:rFonts w:cstheme="minorBidi"/>
        </w:rPr>
        <w:t xml:space="preserve"> sistēmiska iesaiste mūžizglītībā, ieviešot </w:t>
      </w:r>
      <w:r>
        <w:rPr>
          <w:rFonts w:cstheme="minorBidi"/>
        </w:rPr>
        <w:t>atbilstošus</w:t>
      </w:r>
      <w:r w:rsidRPr="00EB2F6D">
        <w:rPr>
          <w:rFonts w:cstheme="minorBidi"/>
        </w:rPr>
        <w:t xml:space="preserve"> snieguma rādītāju</w:t>
      </w:r>
      <w:r>
        <w:rPr>
          <w:rFonts w:cstheme="minorBidi"/>
        </w:rPr>
        <w:t>s.</w:t>
      </w:r>
    </w:p>
    <w:p w14:paraId="5730E3A7" w14:textId="42FE1621" w:rsidR="00C24680" w:rsidRPr="00EB2F6D" w:rsidRDefault="004339F8" w:rsidP="00C24680">
      <w:pPr>
        <w:rPr>
          <w:rFonts w:cstheme="minorBidi"/>
        </w:rPr>
      </w:pPr>
      <w:r>
        <w:rPr>
          <w:rFonts w:cstheme="minorBidi"/>
        </w:rPr>
        <w:t xml:space="preserve">Studiju </w:t>
      </w:r>
      <w:r w:rsidR="005F1ED1">
        <w:rPr>
          <w:rFonts w:cstheme="minorBidi"/>
        </w:rPr>
        <w:t xml:space="preserve">izmaksu </w:t>
      </w:r>
      <w:r>
        <w:rPr>
          <w:rFonts w:cstheme="minorBidi"/>
        </w:rPr>
        <w:t xml:space="preserve">un atalgojuma samērīgumam IZM </w:t>
      </w:r>
      <w:r w:rsidR="00C24680">
        <w:rPr>
          <w:rFonts w:cstheme="minorBidi"/>
        </w:rPr>
        <w:t>vispirms pilotēs un aprobēs jaunu indikatoru, lai izvērtētu datu pietiekamību tam –</w:t>
      </w:r>
      <w:r w:rsidR="008B5352">
        <w:rPr>
          <w:rFonts w:cstheme="minorBidi"/>
        </w:rPr>
        <w:t xml:space="preserve"> vai </w:t>
      </w:r>
      <w:r w:rsidR="004D0CAB">
        <w:rPr>
          <w:rFonts w:cstheme="minorBidi"/>
        </w:rPr>
        <w:t>augstākās izglītības atdeve attiecīgajās studiju programmās ir pietiekama, lai varētu nomaksāt studiju un studējošā kredītu pēc absolvēšanas</w:t>
      </w:r>
      <w:r w:rsidR="00C24680">
        <w:rPr>
          <w:rFonts w:cstheme="minorBidi"/>
        </w:rPr>
        <w:t>. Indikators vispirms tiks izmantots monitoringam, lai  izvairītos no riska, ka nepietiekamu datu dēļ tiek radīti nepareizi stimuli. Indikatora ietvaros tiks vērtēts valsts un/vai studējošo studiju maksu ieguldījums augstākās izglītības studiju programmas apguvē pret to pievienoto vērtību, kas tiks mērīta kā programmas absolventu algas atšķirība salīdzinājumā ar vidējo algu indivīdam ar vidusskolas izglītību attiecīgajā profesijā un reģionā. Kā fundamentālais kritērijs būs tas, vai indivīds pēc studiju programmas beigšanas ar algas pieaugumu pret indivīdu ar vidusskolas izglītību var atpelnīt 5 gadu laikā savu vai valsts ieguldījumu tā izglītošanā.</w:t>
      </w:r>
    </w:p>
    <w:p w14:paraId="099A7243" w14:textId="77777777" w:rsidR="00C24680" w:rsidRDefault="00C24680" w:rsidP="00C24680">
      <w:pPr>
        <w:rPr>
          <w:rFonts w:cstheme="minorBidi"/>
        </w:rPr>
      </w:pPr>
      <w:r w:rsidRPr="00EB2F6D">
        <w:rPr>
          <w:rFonts w:cstheme="minorBidi"/>
        </w:rPr>
        <w:t>Lai attīstītu zinātnes konkurētspēju, ir nepieciešams pasaules redzējums un sadarbība ar pasaules vadošajiem zinātniekiem. Pašlaik akadēmiskā personāla un doktorantu apmaiņa notiek no gadījuma uz gadījumu, izrietot no indivīdu aktivitātes un motivācijas. Šāda sistēma neizmanto visas Latvijas augstākās izglītības sistēmai sniegtās internacionalizācijas iespējas, tādēļ jauno snieguma kritēriju mērķis būs arī akadēmiskā personāla un doktorantu internacionalizācija, kas ņems vērā vismaz vienu semestra ilgu akadēmisko apmaiņu ārvalstu augstskolā atbilstoši to vietai pasaules reitingos. Projekta rezultātā tiks uzlabota Latvijas augstskolu zinātniskā kvalitāte un starptautiskais prestižs, kā arī palielināta akadēmiskā personāla un doktorantu kompetence.</w:t>
      </w:r>
    </w:p>
    <w:p w14:paraId="051E19BC" w14:textId="77777777" w:rsidR="00C24680" w:rsidRPr="00DB4FC1" w:rsidRDefault="00C24680" w:rsidP="00C24680">
      <w:pPr>
        <w:rPr>
          <w:rFonts w:cstheme="minorBidi"/>
        </w:rPr>
      </w:pPr>
      <w:r w:rsidRPr="00DB4FC1">
        <w:rPr>
          <w:rFonts w:cstheme="minorBidi"/>
        </w:rPr>
        <w:t xml:space="preserve">Lai ieviestu jaunos kritērijus, ir nepieciešams grozīt Ministru kabineta noteikumus Nr. 994 “Kārtība, kādā augstskolas un koledžas tiek finansētas no valsts budžeta līdzekļiem” un paredzēt jaunos kritērijus ar attiecīgo svaru. </w:t>
      </w:r>
    </w:p>
    <w:p w14:paraId="6ECDE6E9" w14:textId="2C7D1F76" w:rsidR="00C24680" w:rsidRPr="00E84AA3" w:rsidRDefault="00C3679F" w:rsidP="00C24680">
      <w:pPr>
        <w:rPr>
          <w:rFonts w:cstheme="minorBidi"/>
        </w:rPr>
      </w:pPr>
      <w:r>
        <w:rPr>
          <w:rFonts w:cstheme="minorBidi"/>
        </w:rPr>
        <w:t xml:space="preserve">Snieguma finansējuma palielinājums </w:t>
      </w:r>
      <w:r w:rsidRPr="00C3679F">
        <w:rPr>
          <w:rFonts w:cstheme="minorBidi"/>
        </w:rPr>
        <w:t xml:space="preserve">veicinās iestāžu orientēšanos uz sniegumu un veicinās iestāžu darbības sasaisti ar valsts un tautsaimniecības attīstības prioritātēm. </w:t>
      </w:r>
      <w:r w:rsidR="002B2AAC">
        <w:rPr>
          <w:rFonts w:cstheme="minorBidi"/>
        </w:rPr>
        <w:t xml:space="preserve">Finansējuma </w:t>
      </w:r>
      <w:r w:rsidR="00C24680" w:rsidRPr="00DB4FC1">
        <w:rPr>
          <w:rFonts w:cstheme="minorBidi"/>
        </w:rPr>
        <w:t xml:space="preserve">palielinājums ir arī nepieciešams sakarā ar kritēriju skaita palielinājumu otrajā </w:t>
      </w:r>
      <w:r w:rsidR="00C24680" w:rsidRPr="00DB4FC1">
        <w:rPr>
          <w:rFonts w:cstheme="minorBidi"/>
        </w:rPr>
        <w:lastRenderedPageBreak/>
        <w:t>pīlārā. Lai katrs individuālais kritērijs būtu pietiekami finansiāli saistošs iestādei, tam ir jābūt ar pietiekamu augstu nominālo vērtību.</w:t>
      </w:r>
    </w:p>
    <w:p w14:paraId="6C205986" w14:textId="77777777" w:rsidR="00C24680" w:rsidRDefault="00C24680" w:rsidP="00C24680">
      <w:pPr>
        <w:rPr>
          <w:rFonts w:cstheme="minorBidi"/>
          <w:i/>
          <w:iCs/>
        </w:rPr>
      </w:pPr>
    </w:p>
    <w:p w14:paraId="301764A3" w14:textId="63B32A9C" w:rsidR="00C24680" w:rsidRPr="003519C8" w:rsidRDefault="003519C8" w:rsidP="00491B9A">
      <w:pPr>
        <w:pStyle w:val="Heading4"/>
      </w:pPr>
      <w:r>
        <w:t>Zinātnes snieguma finansējums - z</w:t>
      </w:r>
      <w:r w:rsidR="00C24680" w:rsidRPr="003519C8">
        <w:t>inātnes bāze</w:t>
      </w:r>
    </w:p>
    <w:p w14:paraId="0C7C9DE8" w14:textId="2CC9A7A7" w:rsidR="00C24680" w:rsidRDefault="00C24680" w:rsidP="00C24680">
      <w:pPr>
        <w:rPr>
          <w:rFonts w:cstheme="minorBidi"/>
        </w:rPr>
      </w:pPr>
      <w:r w:rsidRPr="00E84AA3">
        <w:rPr>
          <w:rFonts w:cstheme="minorBidi"/>
        </w:rPr>
        <w:t xml:space="preserve">Ar 5 milj. </w:t>
      </w:r>
      <w:r w:rsidR="00C16B07" w:rsidRPr="00C16B07">
        <w:rPr>
          <w:rFonts w:cstheme="minorBidi"/>
          <w:i/>
          <w:iCs/>
        </w:rPr>
        <w:t>euro</w:t>
      </w:r>
      <w:r w:rsidRPr="00E84AA3">
        <w:rPr>
          <w:rFonts w:cstheme="minorBidi"/>
        </w:rPr>
        <w:t xml:space="preserve"> papildu </w:t>
      </w:r>
      <w:r>
        <w:rPr>
          <w:rFonts w:cstheme="minorBidi"/>
        </w:rPr>
        <w:t xml:space="preserve">zinātnes bāzes </w:t>
      </w:r>
      <w:r w:rsidRPr="00E84AA3">
        <w:rPr>
          <w:rFonts w:cstheme="minorBidi"/>
        </w:rPr>
        <w:t>finansējumu no 2024.gada tiks panākts, ka labākajās un spēcīgākajās Latvijas zinātniskajās institūcijās tiks nodrošināts zinātniskās kapacitātes pieaugums</w:t>
      </w:r>
      <w:r>
        <w:rPr>
          <w:rFonts w:cstheme="minorBidi"/>
        </w:rPr>
        <w:t xml:space="preserve"> caur zinātnes bāzes finansējuma pieaugumu</w:t>
      </w:r>
      <w:r w:rsidRPr="00E84AA3">
        <w:rPr>
          <w:rFonts w:cstheme="minorBidi"/>
        </w:rPr>
        <w:t>, jo šis finansējums tiek izmantots kā nozīmīgs avots zinātniskā personāla atalgojumam (labāka spēja piesaistīt konkurētspējīgus zinātniekus, t.sk. no diasporas), projektu (t.sk. starptautisko) līdzfinansējumam un jaunu un perspektīvu zinātnisko virzienu attīstīšanai (caur institūcijas iekšējiem P&amp;A grantiem).</w:t>
      </w:r>
    </w:p>
    <w:p w14:paraId="23C274D8" w14:textId="77777777" w:rsidR="00C24680" w:rsidRPr="00616E89" w:rsidRDefault="00C24680" w:rsidP="00C24680">
      <w:pPr>
        <w:rPr>
          <w:rFonts w:cstheme="minorBidi"/>
        </w:rPr>
      </w:pPr>
      <w:r>
        <w:rPr>
          <w:rFonts w:cstheme="minorBidi"/>
        </w:rPr>
        <w:t>2022.gada aprīlī Ministru kabinets apstiprināja ministrijas izstrādātus jaunus noteikumus par zinātnes bāzes finansējumu</w:t>
      </w:r>
      <w:r>
        <w:rPr>
          <w:rStyle w:val="FootnoteReference"/>
        </w:rPr>
        <w:footnoteReference w:id="28"/>
      </w:r>
      <w:r>
        <w:rPr>
          <w:rFonts w:cstheme="minorBidi"/>
        </w:rPr>
        <w:t>, kas ņem vērā Ziemeļeiropas un pasaules attīstīto valstu labāko praksi attiecībā uz zinātnes finansēšanas formulu. To uzsvars ir starptautiski pieņemtie pētniecības rādītāji- gan piesaistītais ārējais finansējums, gan publikāciju kvalitāte (citējamība). Noteikumi nosaka arī to, ka b</w:t>
      </w:r>
      <w:r w:rsidRPr="003A5364">
        <w:rPr>
          <w:rFonts w:cstheme="minorBidi"/>
        </w:rPr>
        <w:t>āzes finansējumu ministrija aprēķina un piešķir zinātniskajām institūcijām, kuras pēdējā starptautiskajā novērtējumā ir novērtētas ar  vērtējumu "3", "4" un "5".</w:t>
      </w:r>
      <w:r>
        <w:rPr>
          <w:rFonts w:cstheme="minorBidi"/>
        </w:rPr>
        <w:t xml:space="preserve"> Pārējām, zemāk novērtētām institūcijām zinātnes bāzes finansējums tiek piešķirts tikai pie nosacījuma, ka tie piedalās konsolidācijas projektos, īstenojot </w:t>
      </w:r>
      <w:r w:rsidRPr="003A5364">
        <w:rPr>
          <w:rFonts w:cstheme="minorBidi"/>
        </w:rPr>
        <w:t>Eiropas Savienības Atveseļošanas un noturības mehānisma plān</w:t>
      </w:r>
      <w:r>
        <w:rPr>
          <w:rFonts w:cstheme="minorBidi"/>
        </w:rPr>
        <w:t>u</w:t>
      </w:r>
      <w:r w:rsidRPr="003A5364">
        <w:rPr>
          <w:rFonts w:cstheme="minorBidi"/>
        </w:rPr>
        <w:t xml:space="preserve"> augstākās izglītības un zinātnes izcilības un pārvaldības reformas ietvaros</w:t>
      </w:r>
      <w:r>
        <w:rPr>
          <w:rFonts w:cstheme="minorBidi"/>
        </w:rPr>
        <w:t>.</w:t>
      </w:r>
    </w:p>
    <w:p w14:paraId="760958B5" w14:textId="3624610D" w:rsidR="00C24680" w:rsidRDefault="00C24680" w:rsidP="00C24680">
      <w:r>
        <w:t xml:space="preserve">Papildu 5. milj. </w:t>
      </w:r>
      <w:r w:rsidR="00C16B07" w:rsidRPr="00C16B07">
        <w:rPr>
          <w:i/>
          <w:iCs/>
        </w:rPr>
        <w:t>euro</w:t>
      </w:r>
      <w:r>
        <w:t xml:space="preserve"> 2024., 2025., 2026. gadam un turpmāk nodrošina mērenu publiskā sektora zinātnes kapacitātes pieaugumu. Priekšnoteikums, lai valsts budžeta ieguldījumi kā īpatsvars no iekšzemes kopprodukta pietuvotos Lietuvai (Latvija - 0,27 %, Lietuva - 0,33 %). Šīs bāzes finansējums nodrošinās papildu orientējoši 150 zinātnieku pilna laika ekvivalentā un kāpumu Eiropas inovāciju apkopojuma rādītājos.</w:t>
      </w:r>
    </w:p>
    <w:p w14:paraId="5F9D1A94" w14:textId="77777777" w:rsidR="00C24680" w:rsidRDefault="00C24680" w:rsidP="00C24680">
      <w:r>
        <w:t>Šāds piešķīrums nodrošinās to, ka orientējoši 50 % no valsts budžeta finansējuma zinātnē sekos zinātnisko institūciju sniegumam (nodrošinot stabilitāti un izaugsmi), panākot veselīgu līdzsvaru starp grantu konkursiem un zinātnes bāzi (orientējoši 50 % projektu finansējums un 50% bāzes finansējums ir optimāls samērs, kad nav pārāk liela atkarība no projektiem, kas nozīmē grūtības projektu pārrāvumu gadījumā, vienlaicīgi konkursa kārtībā iegūstamais finansējums ir pietiekoši būtiska finansējuma daļa).</w:t>
      </w:r>
    </w:p>
    <w:p w14:paraId="29117F4D" w14:textId="3CE5C5A8" w:rsidR="00C24680" w:rsidRPr="00616E89" w:rsidRDefault="00C24680" w:rsidP="00C24680">
      <w:r>
        <w:t>Kā daļu no zinātnes bāzes attīstības, ir n</w:t>
      </w:r>
      <w:r w:rsidRPr="000C73CB">
        <w:t>epieciešams nodrošināt ESFRI</w:t>
      </w:r>
      <w:r w:rsidR="00772945">
        <w:t xml:space="preserve"> (</w:t>
      </w:r>
      <w:proofErr w:type="spellStart"/>
      <w:r w:rsidR="00772945">
        <w:rPr>
          <w:i/>
          <w:iCs/>
        </w:rPr>
        <w:t>European</w:t>
      </w:r>
      <w:proofErr w:type="spellEnd"/>
      <w:r w:rsidR="00772945">
        <w:rPr>
          <w:i/>
          <w:iCs/>
        </w:rPr>
        <w:t xml:space="preserve"> </w:t>
      </w:r>
      <w:proofErr w:type="spellStart"/>
      <w:r w:rsidR="00772945">
        <w:rPr>
          <w:i/>
          <w:iCs/>
        </w:rPr>
        <w:t>Strategy</w:t>
      </w:r>
      <w:proofErr w:type="spellEnd"/>
      <w:r w:rsidR="00772945">
        <w:rPr>
          <w:i/>
          <w:iCs/>
        </w:rPr>
        <w:t xml:space="preserve"> Forum </w:t>
      </w:r>
      <w:proofErr w:type="spellStart"/>
      <w:r w:rsidR="00772945">
        <w:rPr>
          <w:i/>
          <w:iCs/>
        </w:rPr>
        <w:t>on</w:t>
      </w:r>
      <w:proofErr w:type="spellEnd"/>
      <w:r w:rsidR="00772945">
        <w:rPr>
          <w:i/>
          <w:iCs/>
        </w:rPr>
        <w:t xml:space="preserve"> </w:t>
      </w:r>
      <w:proofErr w:type="spellStart"/>
      <w:r w:rsidR="00772945">
        <w:rPr>
          <w:i/>
          <w:iCs/>
        </w:rPr>
        <w:t>Research</w:t>
      </w:r>
      <w:proofErr w:type="spellEnd"/>
      <w:r w:rsidR="00772945">
        <w:rPr>
          <w:i/>
          <w:iCs/>
        </w:rPr>
        <w:t xml:space="preserve"> </w:t>
      </w:r>
      <w:proofErr w:type="spellStart"/>
      <w:r w:rsidR="00772945">
        <w:rPr>
          <w:i/>
          <w:iCs/>
        </w:rPr>
        <w:t>Infrastructure</w:t>
      </w:r>
      <w:proofErr w:type="spellEnd"/>
      <w:r w:rsidR="00772945">
        <w:t>)</w:t>
      </w:r>
      <w:r w:rsidRPr="000C73CB">
        <w:t xml:space="preserve"> c</w:t>
      </w:r>
      <w:r>
        <w:t>e</w:t>
      </w:r>
      <w:r w:rsidRPr="000C73CB">
        <w:t>ļa kartes aktualizāciju</w:t>
      </w:r>
      <w:r>
        <w:t xml:space="preserve">, kas nodrošinās efektīvu finansējuma izmantošanu un palielinās valsts ieguldījuma efektivitāti. </w:t>
      </w:r>
      <w:r w:rsidRPr="000C73CB">
        <w:t>ESFRI process ir galvenais Eiropas Savienības pētniecības infrastruktūru harmonizācijas process. ESFRI nacionālā ceļa karte ir būtisks dokuments ES struktūrfondu plānošanas procesā, uz to ir atsauce Darbības programmā. Piedaloties ESFRI projektos un ERIC</w:t>
      </w:r>
      <w:r w:rsidR="00334B38">
        <w:t xml:space="preserve"> (</w:t>
      </w:r>
      <w:proofErr w:type="spellStart"/>
      <w:r w:rsidR="00334B38" w:rsidRPr="00334B38">
        <w:t>Education</w:t>
      </w:r>
      <w:proofErr w:type="spellEnd"/>
      <w:r w:rsidR="00334B38" w:rsidRPr="00334B38">
        <w:t xml:space="preserve"> Resources </w:t>
      </w:r>
      <w:proofErr w:type="spellStart"/>
      <w:r w:rsidR="00334B38" w:rsidRPr="00334B38">
        <w:t>Information</w:t>
      </w:r>
      <w:proofErr w:type="spellEnd"/>
      <w:r w:rsidR="00334B38" w:rsidRPr="00334B38">
        <w:t xml:space="preserve"> </w:t>
      </w:r>
      <w:proofErr w:type="spellStart"/>
      <w:r w:rsidR="00334B38" w:rsidRPr="00334B38">
        <w:t>Cente</w:t>
      </w:r>
      <w:proofErr w:type="spellEnd"/>
      <w:r w:rsidR="00334B38">
        <w:t>)</w:t>
      </w:r>
      <w:r w:rsidRPr="000C73CB">
        <w:t xml:space="preserve"> konsorcijos, Latvija iegūst piekļuvi Eiropas</w:t>
      </w:r>
      <w:r>
        <w:t xml:space="preserve"> infrastruktūrām</w:t>
      </w:r>
      <w:r w:rsidRPr="000C73CB">
        <w:t>, un iegūst lietotājus Latvijā</w:t>
      </w:r>
      <w:r>
        <w:t xml:space="preserve"> infrastruktūrām</w:t>
      </w:r>
      <w:r w:rsidRPr="000C73CB">
        <w:t>. ESFRI ir viens no galvenajiem Eiropas Pētniecības telpas instrumentiem.</w:t>
      </w:r>
      <w:r>
        <w:t xml:space="preserve"> No zinātnes bāzes finansējuma ir plānots ieguldīt </w:t>
      </w:r>
      <w:r w:rsidRPr="000E3EF1">
        <w:t>180</w:t>
      </w:r>
      <w:r>
        <w:t> </w:t>
      </w:r>
      <w:r w:rsidRPr="000E3EF1">
        <w:t>500</w:t>
      </w:r>
      <w:r>
        <w:t xml:space="preserve"> </w:t>
      </w:r>
      <w:r w:rsidR="001673CC">
        <w:rPr>
          <w:i/>
          <w:iCs/>
        </w:rPr>
        <w:t>euro</w:t>
      </w:r>
      <w:r>
        <w:t>, lai nodrošinātu</w:t>
      </w:r>
      <w:r w:rsidRPr="000C73CB">
        <w:t xml:space="preserve"> 12 ESFRI/ERIC mezgla punktus Latvijā</w:t>
      </w:r>
      <w:r>
        <w:t xml:space="preserve"> un</w:t>
      </w:r>
      <w:r w:rsidRPr="000C73CB">
        <w:t xml:space="preserve"> 2024.gadā plānots iesaistīt līdz 30 </w:t>
      </w:r>
      <w:r w:rsidRPr="000C73CB">
        <w:lastRenderedPageBreak/>
        <w:t>Latvijas</w:t>
      </w:r>
      <w:r>
        <w:t xml:space="preserve"> un ienākošo</w:t>
      </w:r>
      <w:r w:rsidRPr="000C73CB">
        <w:t xml:space="preserve"> pētnieku ESFRI infrastruktūru koplietošanā, 2025.gadā līdz 80, 2026.gadā līdz 100.</w:t>
      </w:r>
    </w:p>
    <w:p w14:paraId="58AF2763" w14:textId="186EB6AF" w:rsidR="009C58E7" w:rsidRPr="002A7D65" w:rsidRDefault="00C91798" w:rsidP="009C58E7">
      <w:r>
        <w:t xml:space="preserve">Ir plānots, ka </w:t>
      </w:r>
      <w:r w:rsidR="001A54A5">
        <w:t xml:space="preserve">finansējums tiks piešķirts, to 2024. gadā un turpmāk pārdalot uz IZM budžeta apakšprogrammu </w:t>
      </w:r>
      <w:r w:rsidR="00E24BAF">
        <w:t xml:space="preserve">05.02.00 “Zinātnes bāzes finansējums” no </w:t>
      </w:r>
      <w:r w:rsidR="00893007">
        <w:t xml:space="preserve">budžeta resora “74. </w:t>
      </w:r>
      <w:r w:rsidR="009B438F">
        <w:t>Gadskārtējā</w:t>
      </w:r>
      <w:r w:rsidR="00893007">
        <w:t xml:space="preserve"> valsts budžeta izpildes procesā pārdalāmais finansējums” programmas 09.00.00 “Valsts nozīmes reformas īstenošanai”.</w:t>
      </w:r>
    </w:p>
    <w:p w14:paraId="1C482E35" w14:textId="50776C11" w:rsidR="009C58E7" w:rsidRPr="002A7D65" w:rsidRDefault="009C58E7" w:rsidP="004E2733">
      <w:pPr>
        <w:pStyle w:val="Heading3"/>
      </w:pPr>
      <w:bookmarkStart w:id="19" w:name="_Toc167452324"/>
      <w:r w:rsidRPr="002A7D65">
        <w:t>Attīstības finansējums</w:t>
      </w:r>
      <w:bookmarkEnd w:id="19"/>
    </w:p>
    <w:p w14:paraId="28FDDA73" w14:textId="1766CE46" w:rsidR="009C58E7" w:rsidRPr="00491B9A" w:rsidRDefault="009C58E7" w:rsidP="00491B9A">
      <w:pPr>
        <w:pStyle w:val="Heading4"/>
      </w:pPr>
      <w:proofErr w:type="spellStart"/>
      <w:r w:rsidRPr="00491B9A">
        <w:t>Izmēģinājumprojekti</w:t>
      </w:r>
      <w:proofErr w:type="spellEnd"/>
    </w:p>
    <w:p w14:paraId="45D9DEA9" w14:textId="77777777" w:rsidR="00447370" w:rsidRDefault="00447370" w:rsidP="00447370">
      <w:proofErr w:type="spellStart"/>
      <w:r>
        <w:t>Izmēģinājumprojekti</w:t>
      </w:r>
      <w:proofErr w:type="spellEnd"/>
      <w:r>
        <w:t xml:space="preserve"> ir labā prakse politikas plānošanā, jo tie ļauj pārbaudīt jaunu politikas risinājumu efektivitāti, ietekmi un iespējamās sekas konkrētā kontekstā, pirms tos ieviest plašāk. </w:t>
      </w:r>
      <w:proofErr w:type="spellStart"/>
      <w:r>
        <w:t>Izmēģinājumprojekti</w:t>
      </w:r>
      <w:proofErr w:type="spellEnd"/>
      <w:r>
        <w:t xml:space="preserve"> arī palīdz identificēt un novērst iespējamos šķēršļus un problēmas, kas var rasties politikas ieviešanas un īstenošanas procesā. </w:t>
      </w:r>
      <w:proofErr w:type="spellStart"/>
      <w:r>
        <w:t>Izmēģinājumprojekti</w:t>
      </w:r>
      <w:proofErr w:type="spellEnd"/>
      <w:r>
        <w:t xml:space="preserve"> sniedz iespēju iesaistīt un informēt mērķa grupas, kā arī iegūt viņu atsauksmes un viedokļus par politikas risinājumu. </w:t>
      </w:r>
      <w:proofErr w:type="spellStart"/>
      <w:r>
        <w:t>Izmēģinājumprojekti</w:t>
      </w:r>
      <w:proofErr w:type="spellEnd"/>
      <w:r>
        <w:t xml:space="preserve"> veicina inovatīvu un eksperimentālu pieeju politikas veidošanā, kā arī sekmē labas prakses apmaiņu un mācīšanos no pieredzes. </w:t>
      </w:r>
      <w:proofErr w:type="spellStart"/>
      <w:r>
        <w:t>Izmēģinājumprojekti</w:t>
      </w:r>
      <w:proofErr w:type="spellEnd"/>
      <w:r>
        <w:t xml:space="preserve"> ir noderīgs rīks, lai nodrošinātu politikas kvalitāti, efektivitāti un ilgtspējību.</w:t>
      </w:r>
    </w:p>
    <w:p w14:paraId="705C91DB" w14:textId="523FE152" w:rsidR="002E37B6" w:rsidRDefault="00447370" w:rsidP="00447370">
      <w:proofErr w:type="spellStart"/>
      <w:r>
        <w:t>Izmēģinājumprojekti</w:t>
      </w:r>
      <w:proofErr w:type="spellEnd"/>
      <w:r>
        <w:t xml:space="preserve"> politikas plānošanā ir arī saskaņoti ar ES principiem un rekomendācijām par labu pārvaldību un politikas ciklu. ES ir izstrādājusi vairākus instrumentus un metodoloģijas, lai atbalstītu dalībvalstis politikas plānošanā, piem., ES struktūrfondu programmu plānošanas vadlīnijas, ES ietekmes novērtējuma sistēmu, ES atbalsta programmu “Kapacitātes stiprināšana un institucionālā sadarbība” (</w:t>
      </w:r>
      <w:proofErr w:type="spellStart"/>
      <w:r>
        <w:t>Twinning</w:t>
      </w:r>
      <w:proofErr w:type="spellEnd"/>
      <w:r>
        <w:t xml:space="preserve">) utt. Šie instrumenti un metodoloģijas paredz </w:t>
      </w:r>
      <w:proofErr w:type="spellStart"/>
      <w:r>
        <w:t>izmēģinājumprojektu</w:t>
      </w:r>
      <w:proofErr w:type="spellEnd"/>
      <w:r>
        <w:t xml:space="preserve"> izmantošanu kā vienu no veidiem, kā paaugstināt politikas izstrādes kvalitāti un efektivitāti.</w:t>
      </w:r>
    </w:p>
    <w:p w14:paraId="0657DA94" w14:textId="77777777" w:rsidR="00980FA5" w:rsidRDefault="00980FA5" w:rsidP="00447370"/>
    <w:p w14:paraId="6D1352B4" w14:textId="02075329" w:rsidR="00447370" w:rsidRDefault="00447370" w:rsidP="00447370">
      <w:pPr>
        <w:pStyle w:val="Heading5"/>
      </w:pPr>
      <w:r>
        <w:t xml:space="preserve">Institucionālā finansējuma </w:t>
      </w:r>
      <w:proofErr w:type="spellStart"/>
      <w:r>
        <w:t>izmēģinājumprojekts</w:t>
      </w:r>
      <w:proofErr w:type="spellEnd"/>
    </w:p>
    <w:p w14:paraId="2C049A6D" w14:textId="54009284" w:rsidR="00447370" w:rsidRDefault="00242BCF" w:rsidP="00447370">
      <w:r w:rsidRPr="00242BCF">
        <w:t xml:space="preserve">Institucionālas finansēšanas pieeja ir būtiskākā izmaiņa augstākās izglītības finansēšanā pēdējo 30 gadu laikā, kopš tika ieviesta budžeta un maksas vietu sistēma. Šo izmaiņu būtiskuma dēļ, balsoties starptautiskajā labajā praksē, būtu nepieciešams vispirms īstenot </w:t>
      </w:r>
      <w:proofErr w:type="spellStart"/>
      <w:r w:rsidRPr="00242BCF">
        <w:t>izmēģinājumprojektu</w:t>
      </w:r>
      <w:proofErr w:type="spellEnd"/>
      <w:r w:rsidRPr="00242BCF">
        <w:t xml:space="preserve">, lai gūtu secinājumus par ieviešanas aspektiem un normatīvā regulējuma veidošanai, izvērtētu institucionālās finansēšanas sistēmas darbību vienā vai vairākās augstākās izglītības iestādēs pirms reformēt visu augstākās izglītības jomu. Lai gan šāda sistēma sekmīgi darbojas starptautiski, Latvijas unikālais konteksts un vēsture varētu ietekmēt to, cik efektīvi tā darbojas. Tāpat arī būtisks priekšnoteikums veiksmīgai rīcībpolitikai ir tās veiksmīga ieviešana un īstenošana. </w:t>
      </w:r>
      <w:proofErr w:type="spellStart"/>
      <w:r w:rsidRPr="00242BCF">
        <w:t>Izmēģinājumprojekts</w:t>
      </w:r>
      <w:proofErr w:type="spellEnd"/>
      <w:r w:rsidRPr="00242BCF">
        <w:t xml:space="preserve"> ļautu izmēģināt institucionālā finansējuma ieviešanu, vienlaicīgi arī identificējot ieviešanas izaicinājumus, ko novērst, ieviešot institucionālo finansējumu visā augstākajā izglītībā.</w:t>
      </w:r>
    </w:p>
    <w:p w14:paraId="53F37B25" w14:textId="3FB40F8B" w:rsidR="009D480A" w:rsidRDefault="00420A62" w:rsidP="007F72AA">
      <w:r>
        <w:t>Saskaņā ar Augstskolu likuma pārejas no</w:t>
      </w:r>
      <w:r w:rsidR="00317B34">
        <w:t xml:space="preserve">teikumu 99., 100., 101., 102., 103., un 104. punktiem, </w:t>
      </w:r>
      <w:proofErr w:type="spellStart"/>
      <w:r w:rsidR="00317B34">
        <w:t>izmēģinājumprojekts</w:t>
      </w:r>
      <w:proofErr w:type="spellEnd"/>
      <w:r w:rsidR="00317B34">
        <w:t xml:space="preserve"> var tikt īstenots </w:t>
      </w:r>
      <w:r w:rsidR="00DA4C24">
        <w:t xml:space="preserve">valsts augstskolā, kura ietvaros notiks valsts finanšu līdzekļu dotācijas piešķiršana </w:t>
      </w:r>
      <w:r w:rsidR="008F57D7">
        <w:t>AII</w:t>
      </w:r>
      <w:r w:rsidR="00DA4C24">
        <w:t xml:space="preserve"> tās pamatdarbības nodrošināšanai. Saskaņā ar pārejas noteikumu punktiem, šis </w:t>
      </w:r>
      <w:proofErr w:type="spellStart"/>
      <w:r w:rsidR="00DA4C24">
        <w:t>izmēģinājumprojekts</w:t>
      </w:r>
      <w:proofErr w:type="spellEnd"/>
      <w:r w:rsidR="00DA4C24">
        <w:t xml:space="preserve"> var tikt īstenots,</w:t>
      </w:r>
      <w:r w:rsidR="008F73FA">
        <w:t xml:space="preserve"> </w:t>
      </w:r>
      <w:r w:rsidR="00D45486">
        <w:t>piemērojot</w:t>
      </w:r>
      <w:r w:rsidR="00585640">
        <w:t xml:space="preserve"> Augstskolu likuma 51., 52., un 78. pan</w:t>
      </w:r>
      <w:r w:rsidR="008F73FA">
        <w:t xml:space="preserve">tus, </w:t>
      </w:r>
      <w:r w:rsidR="00D45486">
        <w:t>ciktāl tie nav pretrunā ar pārejas note</w:t>
      </w:r>
      <w:r w:rsidR="00856D40">
        <w:t>i</w:t>
      </w:r>
      <w:r w:rsidR="00D45486">
        <w:t xml:space="preserve">kumu 99. </w:t>
      </w:r>
      <w:r w:rsidR="00D45486">
        <w:lastRenderedPageBreak/>
        <w:t>100. un 101. punktu</w:t>
      </w:r>
      <w:r w:rsidR="00823BC2">
        <w:t xml:space="preserve"> par </w:t>
      </w:r>
      <w:r w:rsidR="00870C5E">
        <w:t xml:space="preserve">institucionālā finansējuma </w:t>
      </w:r>
      <w:proofErr w:type="spellStart"/>
      <w:r w:rsidR="00870C5E">
        <w:t>izmēģinājumprojektu</w:t>
      </w:r>
      <w:proofErr w:type="spellEnd"/>
      <w:r w:rsidR="00870C5E">
        <w:t>.</w:t>
      </w:r>
      <w:r w:rsidR="004F301C">
        <w:t xml:space="preserve"> Nākotnē ir plānots </w:t>
      </w:r>
      <w:r w:rsidR="00BD492C">
        <w:t>arī grozīt normatīvo regulējumu, lai varētu īstenot institucionālo finansēšanu arī koledžās.</w:t>
      </w:r>
    </w:p>
    <w:p w14:paraId="5FFE25F5" w14:textId="77777777" w:rsidR="00A76977" w:rsidRDefault="00A76977" w:rsidP="007F72AA"/>
    <w:p w14:paraId="648E038B" w14:textId="30F5776E" w:rsidR="009D6F2E" w:rsidRPr="007D3D25" w:rsidRDefault="009D6F2E" w:rsidP="007D3D25">
      <w:pPr>
        <w:pStyle w:val="Heading5"/>
      </w:pPr>
      <w:proofErr w:type="spellStart"/>
      <w:r w:rsidRPr="007D3D25">
        <w:t>Mikrokvalifikāciju</w:t>
      </w:r>
      <w:proofErr w:type="spellEnd"/>
      <w:r w:rsidRPr="007D3D25">
        <w:t xml:space="preserve"> </w:t>
      </w:r>
      <w:proofErr w:type="spellStart"/>
      <w:r w:rsidRPr="007D3D25">
        <w:t>izmēģinājumprojekts</w:t>
      </w:r>
      <w:proofErr w:type="spellEnd"/>
    </w:p>
    <w:p w14:paraId="174159F4" w14:textId="77777777" w:rsidR="009D6F2E" w:rsidRDefault="009D6F2E" w:rsidP="009D6F2E">
      <w:r>
        <w:t>Aizvien straujāk attīstoties darba tirgum, pieaug nepieciešamība pēc iespējas apgūt jaunas prasmes un kompetences viscaur profesionālai karjerai. Pašlaik mūžizglītība ir salīdzinoši vāji attīstīta daļa no augstākās izglītības piedāvājuma, kas galvenokārt liek uzsvaru uz formālo izglītību, kas ir orientēta uz jauniešiem.  Jau šobrīd ir vērojama tendence, ka iedzīvotāji pēc 40 gadu vecuma pelna būtiski zemākas algas nekā jaunāki darbinieki</w:t>
      </w:r>
      <w:r>
        <w:rPr>
          <w:rStyle w:val="FootnoteReference"/>
        </w:rPr>
        <w:footnoteReference w:id="29"/>
      </w:r>
      <w:r>
        <w:t xml:space="preserve">. Lai risinātu šos izaicinājumus, pasaulē aizvien lielāku interesi gūst </w:t>
      </w:r>
      <w:proofErr w:type="spellStart"/>
      <w:r>
        <w:t>mikrokvalifikāciju</w:t>
      </w:r>
      <w:proofErr w:type="spellEnd"/>
      <w:r>
        <w:t xml:space="preserve"> attīstīšana, kas pēc būtības būtu īsāki kursi vai kursu kopas, kas ir mērķētas uz konkrēto prasmju vai kompetenču attīstību un kas būtu īsāki par formālo izglītību</w:t>
      </w:r>
      <w:r>
        <w:rPr>
          <w:rStyle w:val="FootnoteReference"/>
        </w:rPr>
        <w:footnoteReference w:id="30"/>
      </w:r>
      <w:r>
        <w:t xml:space="preserve">. Arī Eiropas Savienības līmenī aktīvi strādā pie </w:t>
      </w:r>
      <w:proofErr w:type="spellStart"/>
      <w:r>
        <w:t>mikrokvalifikāciju</w:t>
      </w:r>
      <w:proofErr w:type="spellEnd"/>
      <w:r>
        <w:t xml:space="preserve"> ieviešanas, 2022. gadā Eiropas Savienības Padomei pieņemot ieteikumu par atbalstu </w:t>
      </w:r>
      <w:proofErr w:type="spellStart"/>
      <w:r>
        <w:t>mikrokvalifikāciju</w:t>
      </w:r>
      <w:proofErr w:type="spellEnd"/>
      <w:r>
        <w:t xml:space="preserve"> izstrādei, īstenošanai un atzīšanai. Arī Latvijai ir nepieciešams aktīvs darbs pie </w:t>
      </w:r>
      <w:proofErr w:type="spellStart"/>
      <w:r>
        <w:t>mikrokvalifikāciju</w:t>
      </w:r>
      <w:proofErr w:type="spellEnd"/>
      <w:r>
        <w:t xml:space="preserve"> attīstības, jo paredzamais karjeras ilgums pēc augstākās izglītības pabeigšanas ir pārāk ilgs, lai valsts varētu atļauties, ka darbinieki neattīsta savas prasmes līdzi laikam. </w:t>
      </w:r>
    </w:p>
    <w:p w14:paraId="726B3E49" w14:textId="5E9218C4" w:rsidR="009D6F2E" w:rsidRDefault="009D6F2E" w:rsidP="009D6F2E">
      <w:r>
        <w:t xml:space="preserve">Ņemot vērā </w:t>
      </w:r>
      <w:proofErr w:type="spellStart"/>
      <w:r>
        <w:t>mikrokvalifikāciju</w:t>
      </w:r>
      <w:proofErr w:type="spellEnd"/>
      <w:r>
        <w:t xml:space="preserve"> novitāti pasaulē, Latvija sekos citu Eiropas Savienības valstu piemēram un sniegs atbalstu </w:t>
      </w:r>
      <w:proofErr w:type="spellStart"/>
      <w:r>
        <w:t>mirkokvalifikāciju</w:t>
      </w:r>
      <w:proofErr w:type="spellEnd"/>
      <w:r>
        <w:t xml:space="preserve"> izveidei. Kā piemērs šādam projektam ir Īrijas pieeja </w:t>
      </w:r>
      <w:proofErr w:type="spellStart"/>
      <w:r>
        <w:t>mikrokvalifikāciju</w:t>
      </w:r>
      <w:proofErr w:type="spellEnd"/>
      <w:r>
        <w:t xml:space="preserve"> izveidē, kura ietvaros vairākas universitātes apvienojās, lai izveidotu pirmās </w:t>
      </w:r>
      <w:proofErr w:type="spellStart"/>
      <w:r>
        <w:t>mikrokvalifikācijas</w:t>
      </w:r>
      <w:proofErr w:type="spellEnd"/>
      <w:r>
        <w:t xml:space="preserve"> valstī, kā arī caur to izstrādāt ietvaru </w:t>
      </w:r>
      <w:proofErr w:type="spellStart"/>
      <w:r>
        <w:t>mikrokvalifikāciju</w:t>
      </w:r>
      <w:proofErr w:type="spellEnd"/>
      <w:r>
        <w:t xml:space="preserve"> izveidei un arī izveidot vienotu portālu, kurā interesenti var atrast sev aktuālas </w:t>
      </w:r>
      <w:proofErr w:type="spellStart"/>
      <w:r>
        <w:t>mikrokvalifikācijas</w:t>
      </w:r>
      <w:proofErr w:type="spellEnd"/>
      <w:r>
        <w:t xml:space="preserve"> un kur darba devēji var iegūt informāciju par apgūto saturu</w:t>
      </w:r>
      <w:r>
        <w:rPr>
          <w:rStyle w:val="FootnoteReference"/>
        </w:rPr>
        <w:footnoteReference w:id="31"/>
      </w:r>
      <w:r>
        <w:t xml:space="preserve">. Latvijas gadījumā valsts izveidos atbalsta programmu </w:t>
      </w:r>
      <w:proofErr w:type="spellStart"/>
      <w:r>
        <w:t>mikrokvalifikāciju</w:t>
      </w:r>
      <w:proofErr w:type="spellEnd"/>
      <w:r>
        <w:t xml:space="preserve"> izveidei, kuras ietvaros tiks sagatavotas pirmās </w:t>
      </w:r>
      <w:proofErr w:type="spellStart"/>
      <w:r>
        <w:t>mikrokvalifikācijas</w:t>
      </w:r>
      <w:proofErr w:type="spellEnd"/>
      <w:r>
        <w:t xml:space="preserve"> valstī. Veidojot </w:t>
      </w:r>
      <w:proofErr w:type="spellStart"/>
      <w:r>
        <w:t>mikrokvalifikācijas</w:t>
      </w:r>
      <w:proofErr w:type="spellEnd"/>
      <w:r>
        <w:t xml:space="preserve">, viena tiks veidota sadarbībā ar valsti, lai nodrošinātu kompetenču un prasmju attīstību valsts sektorā strādājošajiem. Tāpat arī tiks īpaši atbalstītas </w:t>
      </w:r>
      <w:proofErr w:type="spellStart"/>
      <w:r>
        <w:t>mirkokvalifikācijas</w:t>
      </w:r>
      <w:proofErr w:type="spellEnd"/>
      <w:r>
        <w:t xml:space="preserve">, ko iestādes veido ar starptautiskajiem partneriem, tādā veidā nodrošinot iespēju pēc starptautiskās labās prakses ieplūšanu ne tikai akadēmiskajā, bet arī profesionālajā vidē. </w:t>
      </w:r>
      <w:proofErr w:type="spellStart"/>
      <w:r w:rsidR="00890AFE" w:rsidRPr="00890AFE">
        <w:t>Mikrokvalifikāciju</w:t>
      </w:r>
      <w:proofErr w:type="spellEnd"/>
      <w:r w:rsidR="00890AFE" w:rsidRPr="00890AFE">
        <w:t xml:space="preserve"> ieviešana ir būtiska veselības aprūpes jomas profesiju specialitāšu un ārstniecisko un diagnostisko metožu apguvē.</w:t>
      </w:r>
    </w:p>
    <w:p w14:paraId="326210CA" w14:textId="4607E929" w:rsidR="00244311" w:rsidRDefault="00640F4F" w:rsidP="009D6F2E">
      <w:proofErr w:type="spellStart"/>
      <w:r>
        <w:t>Mikrovaklifikāciju</w:t>
      </w:r>
      <w:proofErr w:type="spellEnd"/>
      <w:r>
        <w:t xml:space="preserve"> </w:t>
      </w:r>
      <w:proofErr w:type="spellStart"/>
      <w:r>
        <w:t>izmēģinājumprojekts</w:t>
      </w:r>
      <w:proofErr w:type="spellEnd"/>
      <w:r>
        <w:t xml:space="preserve"> būs pieejams valsts lietišķo zinātņu universitātēm</w:t>
      </w:r>
      <w:r w:rsidRPr="00FE0877">
        <w:t>,</w:t>
      </w:r>
      <w:r w:rsidR="00477B72" w:rsidRPr="00FE0877">
        <w:t xml:space="preserve"> </w:t>
      </w:r>
      <w:r w:rsidR="005B0F70" w:rsidRPr="00FE0877">
        <w:t xml:space="preserve"> mākslu un kultūras universitātēm</w:t>
      </w:r>
      <w:r w:rsidR="005B0F70">
        <w:t>,</w:t>
      </w:r>
      <w:r>
        <w:t xml:space="preserve"> lietišķo zinātņu augstskolām un koledžām. Saskaņā ar </w:t>
      </w:r>
      <w:r w:rsidRPr="00640F4F">
        <w:t>Augstskolu likumu, tieši lietišķo zinātņu augstskolas un universitātes attīsta mūžizglītības programmas, kas atbilstoši darba tirgus prasībām nodrošina tautsaimniecības, valsts un sabiedrības attīstības nākotnes vajadzībām nepieciešamos cilvēkresursus</w:t>
      </w:r>
      <w:r w:rsidR="00ED2F2E">
        <w:t xml:space="preserve">. </w:t>
      </w:r>
      <w:proofErr w:type="spellStart"/>
      <w:r w:rsidR="00ED2F2E">
        <w:t>Izmēģinājumprojekta</w:t>
      </w:r>
      <w:proofErr w:type="spellEnd"/>
      <w:r w:rsidR="00ED2F2E">
        <w:t xml:space="preserve"> koordinēšana tiks deleģēta lietišķo zinātņu universitātei vai lietišķo zinātņu augstskolai ar vislielāko pieredzi starpaugstskolu sadarbības īstenošanā. </w:t>
      </w:r>
    </w:p>
    <w:p w14:paraId="1DCB5D76" w14:textId="2FE14BE9" w:rsidR="00F0265B" w:rsidRDefault="008131D9" w:rsidP="00514928">
      <w:r>
        <w:lastRenderedPageBreak/>
        <w:t xml:space="preserve">IZM ieskatā, Eiropas </w:t>
      </w:r>
      <w:r w:rsidR="00224AA0">
        <w:t>Universitāšu</w:t>
      </w:r>
      <w:r>
        <w:t xml:space="preserve"> iniciatīva, </w:t>
      </w:r>
      <w:r w:rsidR="00EB3DED">
        <w:t xml:space="preserve">kas </w:t>
      </w:r>
      <w:r w:rsidR="00EB3DED" w:rsidRPr="00EB3DED">
        <w:t>reprezentē jaunu, ambiciozu sadarbības veidu starp augstākās izglītības iestādēm, kas izveido starptautiskas alianses nozīmīgu, strauji mainīgu jautājumu risināšanu</w:t>
      </w:r>
      <w:r w:rsidR="00EB3DED">
        <w:t xml:space="preserve"> ir izcils piemērs </w:t>
      </w:r>
      <w:r w:rsidR="005F7B1E">
        <w:t xml:space="preserve">starpaugstskolu sadarbībai. Iestādes, kas iztur konkursu un tiek pieņemtas Eiropas Universitāšu iniciatīvā ir jau iepriekš atlasītas un </w:t>
      </w:r>
      <w:r w:rsidR="000079B0">
        <w:t xml:space="preserve">ir apliecinājušas savu kvalitāti un </w:t>
      </w:r>
      <w:r w:rsidR="00244311">
        <w:t xml:space="preserve">kompetenci koordinēt starpaugstskolu sadarbību. </w:t>
      </w:r>
      <w:r w:rsidR="00BF3E28">
        <w:t xml:space="preserve">Līdz šim </w:t>
      </w:r>
      <w:r w:rsidR="00244311">
        <w:t xml:space="preserve">no Latvijas Eiropas Universitāšu iniciatīvā </w:t>
      </w:r>
      <w:r w:rsidR="00BF3E28">
        <w:t xml:space="preserve">piedalījās </w:t>
      </w:r>
      <w:r w:rsidR="00683D5E">
        <w:t>Latvijas Mākslas akadēmija, Latvijas Universitāte, Rīgas Tehniskā universitāte</w:t>
      </w:r>
      <w:r w:rsidR="005C62F8">
        <w:t>, Ventspils Augstskola un Vidzemes Augstskola.</w:t>
      </w:r>
      <w:r w:rsidR="0088544A">
        <w:t xml:space="preserve"> </w:t>
      </w:r>
      <w:r w:rsidR="007F72AA">
        <w:t>No šīm iestādēm, tikai Ventspils Augstskola un Vidzemes Augstskola</w:t>
      </w:r>
      <w:r w:rsidR="0028518E">
        <w:t xml:space="preserve"> </w:t>
      </w:r>
      <w:r w:rsidR="00BF3E28">
        <w:t xml:space="preserve">ir </w:t>
      </w:r>
      <w:r w:rsidR="0028518E">
        <w:t>lietišķo zinātņu augstskolas vai lietišķo zinātņu universitātēs. Vienlaicīgi arī, Eiropas Universitāšu iniciatīvā agrākajās kārtās tika apstiprināti kvalitatīvākie projekti. Ņemot vērā to, ka Vidzemes Augstskola</w:t>
      </w:r>
      <w:r w:rsidR="00B67CC2">
        <w:t xml:space="preserve"> tajā </w:t>
      </w:r>
      <w:r w:rsidR="00BF3E28">
        <w:t>iesaistījās</w:t>
      </w:r>
      <w:r w:rsidR="00B67CC2">
        <w:t xml:space="preserve"> 2020. gada sākumā, bet Ventspils Augstskola tikai 2023. gada vidū, IZM ieskatā, Vidzemes Augstskola ir ar plašāku un kvalitatīvāku pieredzi starpaugstskolu sadarbības īstenošanā un būtu virzāma kā </w:t>
      </w:r>
      <w:proofErr w:type="spellStart"/>
      <w:r w:rsidR="00B67CC2">
        <w:t>mikrokvalifikāciju</w:t>
      </w:r>
      <w:proofErr w:type="spellEnd"/>
      <w:r w:rsidR="00B67CC2">
        <w:t xml:space="preserve"> </w:t>
      </w:r>
      <w:proofErr w:type="spellStart"/>
      <w:r w:rsidR="00B67CC2">
        <w:t>izmēģinājumprojekta</w:t>
      </w:r>
      <w:proofErr w:type="spellEnd"/>
      <w:r w:rsidR="00B67CC2">
        <w:t xml:space="preserve"> koordinators</w:t>
      </w:r>
      <w:r w:rsidR="00BF3E28">
        <w:t>.</w:t>
      </w:r>
    </w:p>
    <w:p w14:paraId="0E0B22CF" w14:textId="657DC00F" w:rsidR="00747270" w:rsidRPr="00616E89" w:rsidRDefault="008871FB" w:rsidP="00BC2AFE">
      <w:pPr>
        <w:ind w:firstLine="0"/>
      </w:pPr>
      <w:r>
        <w:tab/>
      </w:r>
      <w:proofErr w:type="spellStart"/>
      <w:r>
        <w:t>Mikrokvalifikāciju</w:t>
      </w:r>
      <w:proofErr w:type="spellEnd"/>
      <w:r>
        <w:t xml:space="preserve"> </w:t>
      </w:r>
      <w:proofErr w:type="spellStart"/>
      <w:r>
        <w:t>izmēģinājumprojekta</w:t>
      </w:r>
      <w:proofErr w:type="spellEnd"/>
      <w:r>
        <w:t xml:space="preserve"> rezultātā tiks vērtēts izveidoto </w:t>
      </w:r>
      <w:proofErr w:type="spellStart"/>
      <w:r>
        <w:t>mikrokvalifikāciju</w:t>
      </w:r>
      <w:proofErr w:type="spellEnd"/>
      <w:r>
        <w:t xml:space="preserve"> skaits, </w:t>
      </w:r>
      <w:r w:rsidR="00E54072">
        <w:t>sagatavoto speciālistu skaits un sagatavoto speciālistu turpmākās darba tirgus gaitas.</w:t>
      </w:r>
      <w:r w:rsidR="00513DE9" w:rsidRPr="0011204E">
        <w:t xml:space="preserve"> </w:t>
      </w:r>
    </w:p>
    <w:p w14:paraId="5C4319B8" w14:textId="5E3E6BEE" w:rsidR="00747270" w:rsidRPr="002A7D65" w:rsidRDefault="00747270" w:rsidP="00747270">
      <w:r>
        <w:t>Ir plānots, ka finansējums tiks piešķirts, to 2024.-2026. pārdalot uz IZM budžeta apakšprogrammu 03.0</w:t>
      </w:r>
      <w:r w:rsidR="009B438F">
        <w:t>3</w:t>
      </w:r>
      <w:r>
        <w:t>.00 “</w:t>
      </w:r>
      <w:r w:rsidR="009B438F">
        <w:t>Zinātniskās darbības attīstība augstskolās un koledžās</w:t>
      </w:r>
      <w:r>
        <w:t xml:space="preserve">” no budžeta resora “74. </w:t>
      </w:r>
      <w:r w:rsidR="009B438F">
        <w:t>Gadskārtējā</w:t>
      </w:r>
      <w:r>
        <w:t xml:space="preserve"> valsts budžeta izpildes procesā pārdalāmais finansējums” programmas 09.00.00 “Valsts nozīmes reformas īstenošanai”.</w:t>
      </w:r>
    </w:p>
    <w:p w14:paraId="3171065B" w14:textId="77777777" w:rsidR="00747270" w:rsidRPr="0011204E" w:rsidRDefault="00747270" w:rsidP="00513DE9">
      <w:pPr>
        <w:ind w:firstLine="0"/>
      </w:pPr>
    </w:p>
    <w:p w14:paraId="410CEE38" w14:textId="14EDC157" w:rsidR="00790B93" w:rsidRPr="002A7D65" w:rsidRDefault="00790B93" w:rsidP="00491B9A">
      <w:pPr>
        <w:pStyle w:val="Heading4"/>
      </w:pPr>
      <w:r w:rsidRPr="002A7D65">
        <w:t>Izcilības iniciatīva</w:t>
      </w:r>
    </w:p>
    <w:p w14:paraId="691CD2E8" w14:textId="77777777" w:rsidR="002E37B6" w:rsidRPr="00616E89" w:rsidRDefault="002E37B6" w:rsidP="002E37B6">
      <w:r w:rsidRPr="00616E89">
        <w:t>Augstskolu izcilība un konkurētspēja ir pamats valsts izaugsmei, nodrošinot augstas pievienotās vērtības cilvēkkapitālu, inovācijas, kā arī zināšanu pārnesi un komercializāciju. Pašlaik trīs pīl</w:t>
      </w:r>
      <w:r>
        <w:t>ā</w:t>
      </w:r>
      <w:r w:rsidRPr="00616E89">
        <w:t>ru modelī trešais pīlārs ir paredzēts attīstības finansējuma piešķiršanai augstākās izglītības iestādēm. Tomēr līdz šim attīstības finansēj</w:t>
      </w:r>
      <w:r>
        <w:t>u</w:t>
      </w:r>
      <w:r w:rsidRPr="00616E89">
        <w:t>ms ir bijis orientēts uz salīdzinoši maza izmēra projektiem, kas ir bijuši ar salīdzinoši mazu finansējuma apmēru un no tā izrietošā zema ambīciju līmeņa. Balstoties uz pasaules praksi, lai sekmīgi varētu veidot pasaules līmeņa universitātes, ir nepieciešam</w:t>
      </w:r>
      <w:r>
        <w:t>a</w:t>
      </w:r>
      <w:r w:rsidRPr="00616E89">
        <w:t xml:space="preserve"> kritiskā masa ar talantu, labvēlīga pārvaldība, kā arī būtisks resursu apmērs</w:t>
      </w:r>
      <w:r w:rsidRPr="00616E89">
        <w:rPr>
          <w:rStyle w:val="FootnoteReference"/>
        </w:rPr>
        <w:footnoteReference w:id="32"/>
      </w:r>
      <w:r w:rsidRPr="00616E89">
        <w:t>.</w:t>
      </w:r>
    </w:p>
    <w:p w14:paraId="11D40845" w14:textId="77777777" w:rsidR="002E37B6" w:rsidRPr="00616E89" w:rsidRDefault="002E37B6" w:rsidP="002E37B6">
      <w:r w:rsidRPr="00616E89">
        <w:t xml:space="preserve">Līdz šim Latvijā ir veikta augstākās izglītības pārvaldības reforma un ar </w:t>
      </w:r>
      <w:proofErr w:type="spellStart"/>
      <w:r w:rsidRPr="00616E89">
        <w:t>tenūrprofesūras</w:t>
      </w:r>
      <w:proofErr w:type="spellEnd"/>
      <w:r w:rsidRPr="00616E89">
        <w:t xml:space="preserve"> ieviešanu ir uzsākts darbs pie kritiskās masas ar talantu izveides. Tomēr pašlaik būtisks izaicinājums ir nodrošināt nepieciešamo resursu apmēru. Lai šādu izaicinājumu risinātu, daudzas valstis ir veidojušas izcilības iniciatīvas, kuru ietvaros konkursa kārtā valsts piešķīra būtisku finansējumu iestādēm ar visambiciozākajiem un </w:t>
      </w:r>
      <w:r>
        <w:t xml:space="preserve">reizē </w:t>
      </w:r>
      <w:r w:rsidRPr="00616E89">
        <w:t>reālistiskākajiem plāniem, lai tās varētu virzīties uz izcilību</w:t>
      </w:r>
      <w:r w:rsidRPr="00616E89">
        <w:rPr>
          <w:rStyle w:val="FootnoteReference"/>
        </w:rPr>
        <w:footnoteReference w:id="33"/>
      </w:r>
      <w:r w:rsidRPr="00616E89">
        <w:t>.</w:t>
      </w:r>
    </w:p>
    <w:p w14:paraId="0E4DE775" w14:textId="77777777" w:rsidR="002E37B6" w:rsidRDefault="002E37B6" w:rsidP="002E37B6">
      <w:r w:rsidRPr="00637DB7">
        <w:t>Izcilības iniciatīvas mērķis Latvijā būtu virzība uz iekļūšanu reitingu top 500. Augstskolas atrašanās šo reitingu top 500</w:t>
      </w:r>
      <w:r>
        <w:t xml:space="preserve"> nav pašmērķis, taču būtu</w:t>
      </w:r>
      <w:r w:rsidRPr="00637DB7">
        <w:t xml:space="preserve"> nepārprotams indikators </w:t>
      </w:r>
      <w:r w:rsidRPr="00637DB7">
        <w:lastRenderedPageBreak/>
        <w:t xml:space="preserve">tam, ka Latvijas augstākās izglītības sistēmā darbojas izcilas uz zinātni un inovācijām orientētas augstākās izglītības iestādes, kas kalpo par pamatu Latvijas ekonomiskajai izaugsmei, līdzīgi kā tas ir Igaunijā un Lietuvā. </w:t>
      </w:r>
    </w:p>
    <w:p w14:paraId="5DB5234F" w14:textId="77777777" w:rsidR="002E37B6" w:rsidRPr="00C145EC" w:rsidRDefault="002E37B6" w:rsidP="002E37B6">
      <w:pPr>
        <w:rPr>
          <w:rFonts w:cstheme="minorHAnsi"/>
        </w:rPr>
      </w:pPr>
      <w:r w:rsidRPr="00C145EC">
        <w:rPr>
          <w:rFonts w:cstheme="minorHAnsi"/>
        </w:rPr>
        <w:t>Balstoties uz pasaules pieredzi izcilības iniciatīvu īstenošanā, ir iespējams veikt izcilības iniciatīvu un veidot pasaules līmeņa universitāti trijos veidos:</w:t>
      </w:r>
    </w:p>
    <w:p w14:paraId="09186332" w14:textId="77777777" w:rsidR="002E37B6" w:rsidRPr="00C145EC" w:rsidRDefault="002E37B6" w:rsidP="002E37B6">
      <w:pPr>
        <w:pStyle w:val="ListParagraph"/>
        <w:numPr>
          <w:ilvl w:val="0"/>
          <w:numId w:val="22"/>
        </w:numPr>
        <w:rPr>
          <w:rFonts w:asciiTheme="minorHAnsi" w:hAnsiTheme="minorHAnsi" w:cstheme="minorHAnsi"/>
          <w:sz w:val="24"/>
        </w:rPr>
      </w:pPr>
      <w:r w:rsidRPr="00C145EC">
        <w:rPr>
          <w:rFonts w:asciiTheme="minorHAnsi" w:hAnsiTheme="minorHAnsi" w:cstheme="minorHAnsi"/>
          <w:sz w:val="24"/>
        </w:rPr>
        <w:t xml:space="preserve">Attīstot esošās </w:t>
      </w:r>
      <w:r>
        <w:rPr>
          <w:rFonts w:asciiTheme="minorHAnsi" w:hAnsiTheme="minorHAnsi" w:cstheme="minorHAnsi"/>
          <w:sz w:val="24"/>
        </w:rPr>
        <w:t>augstskolas</w:t>
      </w:r>
    </w:p>
    <w:p w14:paraId="07A2324F" w14:textId="77777777" w:rsidR="002E37B6" w:rsidRPr="00C145EC" w:rsidRDefault="002E37B6" w:rsidP="002E37B6">
      <w:pPr>
        <w:pStyle w:val="ListParagraph"/>
        <w:numPr>
          <w:ilvl w:val="0"/>
          <w:numId w:val="22"/>
        </w:numPr>
        <w:rPr>
          <w:rFonts w:asciiTheme="minorHAnsi" w:hAnsiTheme="minorHAnsi" w:cstheme="minorHAnsi"/>
          <w:sz w:val="24"/>
        </w:rPr>
      </w:pPr>
      <w:r w:rsidRPr="00C145EC">
        <w:rPr>
          <w:rFonts w:asciiTheme="minorHAnsi" w:hAnsiTheme="minorHAnsi" w:cstheme="minorHAnsi"/>
          <w:sz w:val="24"/>
        </w:rPr>
        <w:t>Apvienojot esošās augstskolas un koncentrējot izcilību</w:t>
      </w:r>
    </w:p>
    <w:p w14:paraId="7470BC90" w14:textId="77777777" w:rsidR="002E37B6" w:rsidRPr="00C145EC" w:rsidRDefault="002E37B6" w:rsidP="002E37B6">
      <w:pPr>
        <w:pStyle w:val="ListParagraph"/>
        <w:numPr>
          <w:ilvl w:val="0"/>
          <w:numId w:val="22"/>
        </w:numPr>
        <w:rPr>
          <w:rFonts w:asciiTheme="minorHAnsi" w:hAnsiTheme="minorHAnsi" w:cstheme="minorHAnsi"/>
          <w:sz w:val="24"/>
        </w:rPr>
      </w:pPr>
      <w:r w:rsidRPr="00C145EC">
        <w:rPr>
          <w:rFonts w:asciiTheme="minorHAnsi" w:hAnsiTheme="minorHAnsi" w:cstheme="minorHAnsi"/>
          <w:sz w:val="24"/>
        </w:rPr>
        <w:t>Veidojot jaunas augstskolas</w:t>
      </w:r>
    </w:p>
    <w:p w14:paraId="23FEE589" w14:textId="2E74699F" w:rsidR="002E37B6" w:rsidRDefault="002E37B6" w:rsidP="002E37B6">
      <w:r>
        <w:t xml:space="preserve">Šiem risinājumiem ir dažādas izmaksas, no kurām esošo augstskolu attīstība ir ar viszemāko </w:t>
      </w:r>
      <w:proofErr w:type="spellStart"/>
      <w:r>
        <w:t>resursietilpību</w:t>
      </w:r>
      <w:proofErr w:type="spellEnd"/>
      <w:r>
        <w:t xml:space="preserve">, bet jaunu augstskolu veidošanu – ar visaugstāko. Arī Eiropā piekopj dažādas stratēģijas, piemēram, Vācijas izcilības stratēģija orientējās uz esošo augstskolu attīstību un tam paredzēja 148 </w:t>
      </w:r>
      <w:r w:rsidR="00BF3E28">
        <w:t>milj</w:t>
      </w:r>
      <w:r w:rsidR="003B5031">
        <w:t>.</w:t>
      </w:r>
      <w:r w:rsidR="00BF3E28">
        <w:t xml:space="preserve">, </w:t>
      </w:r>
      <w:r w:rsidR="00C16B07" w:rsidRPr="00C16B07">
        <w:rPr>
          <w:i/>
          <w:iCs/>
        </w:rPr>
        <w:t>euro</w:t>
      </w:r>
      <w:r>
        <w:t xml:space="preserve">. Savukārt </w:t>
      </w:r>
      <w:proofErr w:type="spellStart"/>
      <w:r>
        <w:t>Aalto</w:t>
      </w:r>
      <w:proofErr w:type="spellEnd"/>
      <w:r>
        <w:t xml:space="preserve"> universitātes izveidē Somijas valdība ieguldīja 500 </w:t>
      </w:r>
      <w:r w:rsidR="00BF3E28">
        <w:t xml:space="preserve">milj. </w:t>
      </w:r>
      <w:r w:rsidR="00C16B07" w:rsidRPr="00C16B07">
        <w:rPr>
          <w:i/>
          <w:iCs/>
        </w:rPr>
        <w:t>euro</w:t>
      </w:r>
      <w:r>
        <w:t>. Ņemot vērā esošo finansējuma apmēru Latvijas augstākajā izglītībā, IZM ieskatā efektīvākais risinājums būtu veidot izcilības iniciatīvu, kuras ietvaros esošās augstākās izglītības iestādes tiktu attīstītas konkursa kārtībā.</w:t>
      </w:r>
    </w:p>
    <w:p w14:paraId="60411FF4" w14:textId="359A7CAA" w:rsidR="009C58E7" w:rsidRDefault="002E37B6" w:rsidP="00B03F66">
      <w:r>
        <w:t xml:space="preserve">Pašlaik nepastāv finansējums, kas būtu orientēts uz strukturālām pārmaiņām, lai sasniegtu pasaules līmeņa izcilību. Esošās programmas ir ar nepietiekamu finansiālu un ietekmes vērienu, lai varētu fundamentāli mainīt iestādes kursu. </w:t>
      </w:r>
      <w:r w:rsidRPr="00616E89">
        <w:t xml:space="preserve">Lai stimulētu virzību uz </w:t>
      </w:r>
      <w:r>
        <w:t>izcilību</w:t>
      </w:r>
      <w:r w:rsidRPr="00616E89">
        <w:t>, ir nepieciešams veidot izcilības iniciatīvu, kuras ietvaros valsts izveidotu izcilības fondu, kas piešķirtu būtisku attīstības finansējuma apmēru nelielam projektu skaitam, kas būtu orientēti uz izcilību un varētu reālistiski sasniegt vismaz top 500. Finansējuma piešķiršanai būtu veidojams projektu konkurss, kura ietvaros iestādes sagatavotu savus piedāvājumus un valsts izveidotā komisija tos izvērtētu. Šāda pieeja nodrošinātu uz sniegumu un izcilību orientētu finansēšanu arī attīstības pīlāra ietvaros.</w:t>
      </w:r>
    </w:p>
    <w:p w14:paraId="4EE331A5" w14:textId="48D0E298" w:rsidR="00B03F66" w:rsidRPr="002A7D65" w:rsidRDefault="00B03F66" w:rsidP="00B03F66">
      <w:r>
        <w:t>Nākotnē, ņemot vērā pieejamo finansējumu un politikas prioritātes, izcilības iniciatīva</w:t>
      </w:r>
      <w:r w:rsidR="0019292F">
        <w:t xml:space="preserve"> būtu</w:t>
      </w:r>
      <w:r>
        <w:t xml:space="preserve"> </w:t>
      </w:r>
      <w:r w:rsidR="00D41F59">
        <w:t>visefektīvākais veids, kā nodrošināt pasaules līmeņa iestādes izveidi Latvijā.</w:t>
      </w:r>
    </w:p>
    <w:p w14:paraId="1E9BA244" w14:textId="77777777" w:rsidR="009C58E7" w:rsidRPr="002A7D65" w:rsidRDefault="009C58E7" w:rsidP="007F72AA"/>
    <w:p w14:paraId="0E177C55" w14:textId="77777777" w:rsidR="009C58E7" w:rsidRPr="002A7D65" w:rsidRDefault="009E64C3" w:rsidP="004E2733">
      <w:pPr>
        <w:pStyle w:val="Heading2"/>
      </w:pPr>
      <w:bookmarkStart w:id="20" w:name="_Toc167452325"/>
      <w:r w:rsidRPr="002A7D65">
        <w:t>Studējošo finansēšana no valsts puses</w:t>
      </w:r>
      <w:bookmarkEnd w:id="20"/>
    </w:p>
    <w:p w14:paraId="3D5B6453" w14:textId="1A0BD184" w:rsidR="002E7887" w:rsidRPr="00266FBB" w:rsidRDefault="002F0040" w:rsidP="002E7887">
      <w:pPr>
        <w:rPr>
          <w:rFonts w:ascii="Calibri" w:eastAsia="Calibri" w:hAnsi="Calibri"/>
        </w:rPr>
      </w:pPr>
      <w:r>
        <w:t xml:space="preserve">Reflektantu izvēles vadīšanai un augstākās izglītības popularizēšanai, valsts turpmāk aktīvi strādās ar studējošajiem, veidojot vairākas stipendiju programmas, kuru mērķis ir atbalstīt studējošos no noteiktām </w:t>
      </w:r>
      <w:r w:rsidRPr="0061422E">
        <w:t>demogrāfiskām grupām, izcilības, un studijas specifiskās jomās. Valsts stipendiju fonda palielināšana veicinās studējošo studiju kvalitāti, ļaujot pilnvērtīgi pievērsties studijām, mazinās atbirumu un veicinās pieejamību</w:t>
      </w:r>
      <w:r w:rsidR="002E7887">
        <w:t xml:space="preserve">. </w:t>
      </w:r>
      <w:r w:rsidR="002E7887">
        <w:rPr>
          <w:rFonts w:ascii="Calibri" w:eastAsia="Calibri" w:hAnsi="Calibri"/>
        </w:rPr>
        <w:t xml:space="preserve">Tiks definēti vairāki </w:t>
      </w:r>
      <w:r w:rsidR="002E7887" w:rsidRPr="00266FBB">
        <w:rPr>
          <w:rFonts w:ascii="Calibri" w:eastAsia="Calibri" w:hAnsi="Calibri"/>
        </w:rPr>
        <w:t>stipendiju tipi, paredzot, ka studējošais var saņemt</w:t>
      </w:r>
      <w:r w:rsidR="002E7887">
        <w:rPr>
          <w:rFonts w:ascii="Calibri" w:eastAsia="Calibri" w:hAnsi="Calibri"/>
        </w:rPr>
        <w:t xml:space="preserve"> visas</w:t>
      </w:r>
      <w:r w:rsidR="002E7887" w:rsidRPr="00266FBB">
        <w:rPr>
          <w:rFonts w:ascii="Calibri" w:eastAsia="Calibri" w:hAnsi="Calibri"/>
        </w:rPr>
        <w:t>,</w:t>
      </w:r>
      <w:r w:rsidR="002E7887">
        <w:rPr>
          <w:rFonts w:ascii="Calibri" w:eastAsia="Calibri" w:hAnsi="Calibri"/>
        </w:rPr>
        <w:t xml:space="preserve"> kurām</w:t>
      </w:r>
      <w:r w:rsidR="002E7887" w:rsidRPr="00266FBB">
        <w:rPr>
          <w:rFonts w:ascii="Calibri" w:eastAsia="Calibri" w:hAnsi="Calibri"/>
        </w:rPr>
        <w:t xml:space="preserve"> kvalificējas:</w:t>
      </w:r>
    </w:p>
    <w:p w14:paraId="7624949F" w14:textId="77777777" w:rsidR="002E7887" w:rsidRPr="00501D35" w:rsidRDefault="002E7887" w:rsidP="002E7887">
      <w:pPr>
        <w:pStyle w:val="ListParagraph"/>
        <w:numPr>
          <w:ilvl w:val="1"/>
          <w:numId w:val="7"/>
        </w:numPr>
        <w:rPr>
          <w:rFonts w:asciiTheme="minorHAnsi" w:hAnsiTheme="minorHAnsi" w:cstheme="minorBidi"/>
          <w:sz w:val="24"/>
        </w:rPr>
      </w:pPr>
      <w:r>
        <w:rPr>
          <w:rFonts w:asciiTheme="minorHAnsi" w:eastAsia="Calibri" w:hAnsiTheme="minorHAnsi" w:cstheme="minorBidi"/>
          <w:sz w:val="24"/>
        </w:rPr>
        <w:t>Izcilības stipendijas, kas balstītos akadēmiskajos un zinātnes kritērijos;</w:t>
      </w:r>
    </w:p>
    <w:p w14:paraId="74669B1C" w14:textId="77777777" w:rsidR="002E7887" w:rsidRPr="00505CB9" w:rsidRDefault="002E7887" w:rsidP="002E7887">
      <w:pPr>
        <w:pStyle w:val="ListParagraph"/>
        <w:numPr>
          <w:ilvl w:val="1"/>
          <w:numId w:val="7"/>
        </w:numPr>
        <w:rPr>
          <w:rFonts w:asciiTheme="minorHAnsi" w:hAnsiTheme="minorHAnsi" w:cstheme="minorBidi"/>
          <w:sz w:val="24"/>
        </w:rPr>
      </w:pPr>
      <w:r>
        <w:rPr>
          <w:rFonts w:asciiTheme="minorHAnsi" w:eastAsia="Calibri" w:hAnsiTheme="minorHAnsi" w:cstheme="minorBidi"/>
          <w:sz w:val="24"/>
        </w:rPr>
        <w:t>Sociālās stipendijas, kas balstītos demogrāfiskos un sociālajos kritērijos;</w:t>
      </w:r>
    </w:p>
    <w:p w14:paraId="37A07B69" w14:textId="7DF8F0D3" w:rsidR="00505CB9" w:rsidRDefault="00505CB9" w:rsidP="002E7887">
      <w:pPr>
        <w:pStyle w:val="ListParagraph"/>
        <w:numPr>
          <w:ilvl w:val="1"/>
          <w:numId w:val="7"/>
        </w:numPr>
        <w:rPr>
          <w:rFonts w:asciiTheme="minorHAnsi" w:hAnsiTheme="minorHAnsi" w:cstheme="minorBidi"/>
          <w:sz w:val="24"/>
        </w:rPr>
      </w:pPr>
      <w:r w:rsidRPr="00505CB9">
        <w:rPr>
          <w:rFonts w:asciiTheme="minorHAnsi" w:hAnsiTheme="minorHAnsi" w:cstheme="minorBidi"/>
          <w:sz w:val="24"/>
        </w:rPr>
        <w:t>Studiju jomas stipendijas, kuru mērķis būtu atbalstīt izvēli par labu kādai noteiktai studiju jomai.</w:t>
      </w:r>
    </w:p>
    <w:p w14:paraId="6FB24F84" w14:textId="77777777" w:rsidR="00D54811" w:rsidRPr="00501D35" w:rsidRDefault="00D54811" w:rsidP="00D54811">
      <w:pPr>
        <w:pStyle w:val="ListParagraph"/>
        <w:ind w:firstLine="0"/>
        <w:rPr>
          <w:rFonts w:asciiTheme="minorHAnsi" w:hAnsiTheme="minorHAnsi" w:cstheme="minorBidi"/>
          <w:sz w:val="24"/>
        </w:rPr>
      </w:pPr>
    </w:p>
    <w:p w14:paraId="1EFDA0E3" w14:textId="631123D1" w:rsidR="007769D8" w:rsidRPr="007769D8" w:rsidRDefault="00DD6BC1" w:rsidP="00D072AA">
      <w:pPr>
        <w:pStyle w:val="Heading3"/>
      </w:pPr>
      <w:bookmarkStart w:id="21" w:name="_Toc167452326"/>
      <w:r w:rsidRPr="002A7D65">
        <w:t>Sociālās stipendijas</w:t>
      </w:r>
      <w:bookmarkEnd w:id="21"/>
    </w:p>
    <w:p w14:paraId="2F705917" w14:textId="79B3789D" w:rsidR="00D072AA" w:rsidRDefault="00D072AA" w:rsidP="00D072AA">
      <w:r w:rsidRPr="0061422E">
        <w:t>Šobrīd Latvija ir vienīgā valsts reģionā, kas nenodrošina stipendijas, kas ņemtu vērā sociālās pazīmes, izņemot 2021.</w:t>
      </w:r>
      <w:r>
        <w:t xml:space="preserve"> </w:t>
      </w:r>
      <w:r w:rsidRPr="0061422E">
        <w:t>gadā ieviestās “</w:t>
      </w:r>
      <w:proofErr w:type="spellStart"/>
      <w:r w:rsidRPr="0061422E">
        <w:t>Studētgods</w:t>
      </w:r>
      <w:proofErr w:type="spellEnd"/>
      <w:r w:rsidRPr="0061422E">
        <w:t xml:space="preserve">” stipendijas jauniešiem no daudzbērnu ģimenēm, personām ar 1. vai 2. invaliditātes grupu, bāreņiem un bez vecāku </w:t>
      </w:r>
      <w:r w:rsidRPr="0061422E">
        <w:lastRenderedPageBreak/>
        <w:t>apgādības</w:t>
      </w:r>
      <w:r>
        <w:t xml:space="preserve"> palikušajiem. Jaunu stipendiju ieviešana</w:t>
      </w:r>
      <w:r w:rsidRPr="7B51120F">
        <w:t>, kas ņem vērā sociālās pazīmes, ļaus nodrošināt finansiālo  atbalstu tiem, kuriem tas ir visvairāk nepieciešams</w:t>
      </w:r>
      <w:r>
        <w:t>, tādā veidā mazinot nevienlīdzību un nodrošinot pēc iespējas lielāku finansējuma izlietošanas efektivitāti</w:t>
      </w:r>
      <w:r w:rsidR="00C2194F">
        <w:t xml:space="preserve"> esošā budžeta ietvaros vai piesakot prioritāros pasākumus</w:t>
      </w:r>
      <w:r>
        <w:t>.</w:t>
      </w:r>
      <w:r w:rsidRPr="7B51120F">
        <w:t xml:space="preserve"> </w:t>
      </w:r>
      <w:r w:rsidR="00A54F8D">
        <w:t xml:space="preserve">Jaunu stipendiju ieviešanai nākotnē IZM </w:t>
      </w:r>
      <w:r w:rsidR="0083716B">
        <w:t>nākotnē vai nu radīs finansējumu esošā finansējuma ietvaros, vai arī virzīs prioritāro pasākumu ar plānoto stipendiju apmēru, kritērijiem, un finanšu ietekmes aprēķiniem.</w:t>
      </w:r>
      <w:r w:rsidR="00156245" w:rsidRPr="00156245">
        <w:t xml:space="preserve"> P</w:t>
      </w:r>
      <w:r w:rsidR="00156245">
        <w:t>rioritārais pasākums</w:t>
      </w:r>
      <w:r w:rsidR="00156245" w:rsidRPr="00156245">
        <w:t xml:space="preserve"> skatāms kopā ar citu</w:t>
      </w:r>
      <w:r w:rsidR="00156245">
        <w:t xml:space="preserve"> ministriju prioritārajiem pasākumiem</w:t>
      </w:r>
      <w:r w:rsidR="00156245" w:rsidRPr="00156245">
        <w:t xml:space="preserve"> budžeta veidošanas procesā</w:t>
      </w:r>
    </w:p>
    <w:p w14:paraId="041698CE" w14:textId="77777777" w:rsidR="00D072AA" w:rsidRDefault="00D072AA" w:rsidP="00D072AA"/>
    <w:p w14:paraId="71F0DB51" w14:textId="77777777" w:rsidR="00D072AA" w:rsidRDefault="00D072AA" w:rsidP="00D072AA">
      <w:pPr>
        <w:pStyle w:val="ListParagraph"/>
        <w:jc w:val="right"/>
        <w:rPr>
          <w:lang w:eastAsia="ru-RU"/>
        </w:rPr>
      </w:pPr>
      <w:r w:rsidRPr="00980FA5">
        <w:rPr>
          <w:rFonts w:asciiTheme="minorHAnsi" w:hAnsiTheme="minorHAnsi"/>
          <w:sz w:val="24"/>
        </w:rPr>
        <w:t>8.attēls: Finansiālā atbalsta sistēmas studējošajiem Eiropā</w:t>
      </w:r>
    </w:p>
    <w:p w14:paraId="401AB361" w14:textId="77777777" w:rsidR="00D072AA" w:rsidRPr="00266FBB" w:rsidRDefault="00D072AA" w:rsidP="00D072AA">
      <w:r w:rsidRPr="00664048">
        <w:rPr>
          <w:noProof/>
        </w:rPr>
        <w:drawing>
          <wp:inline distT="0" distB="0" distL="0" distR="0" wp14:anchorId="1A8DAD10" wp14:editId="48350CAA">
            <wp:extent cx="5670550" cy="3295015"/>
            <wp:effectExtent l="0" t="0" r="6350" b="635"/>
            <wp:docPr id="574279629" name="Picture 1" descr="A map of europe with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279629" name="Picture 1" descr="A map of europe with different colored squares&#10;&#10;Description automatically generated"/>
                    <pic:cNvPicPr/>
                  </pic:nvPicPr>
                  <pic:blipFill>
                    <a:blip r:embed="rId15"/>
                    <a:stretch>
                      <a:fillRect/>
                    </a:stretch>
                  </pic:blipFill>
                  <pic:spPr>
                    <a:xfrm>
                      <a:off x="0" y="0"/>
                      <a:ext cx="5670550" cy="3295015"/>
                    </a:xfrm>
                    <a:prstGeom prst="rect">
                      <a:avLst/>
                    </a:prstGeom>
                  </pic:spPr>
                </pic:pic>
              </a:graphicData>
            </a:graphic>
          </wp:inline>
        </w:drawing>
      </w:r>
    </w:p>
    <w:p w14:paraId="091D6C71" w14:textId="77777777" w:rsidR="00DD6BC1" w:rsidRPr="002A7D65" w:rsidRDefault="00DD6BC1" w:rsidP="00DD6BC1">
      <w:pPr>
        <w:ind w:firstLine="0"/>
      </w:pPr>
    </w:p>
    <w:p w14:paraId="544E5666" w14:textId="640859E6" w:rsidR="007D0AF3" w:rsidRDefault="00FD0978" w:rsidP="007D0AF3">
      <w:r>
        <w:t xml:space="preserve">Sociālās stipendijas ir sevi apliecinājušas kā efektīvs veids, kā nodrošināt atbalstu studējošajiem no </w:t>
      </w:r>
      <w:r w:rsidR="00AA2CC4">
        <w:t xml:space="preserve">sociāli mazāk aizsargātām grupām. </w:t>
      </w:r>
      <w:r w:rsidR="00F4251A">
        <w:t xml:space="preserve">Ilgtermiņā būtu nepieciešams turpināt </w:t>
      </w:r>
      <w:r w:rsidR="00672C6B">
        <w:t xml:space="preserve">paplašināt sociālo stipendiju saņēmēju loku atbilstoši politikas prioritātēm un pieejamajam finansējumam. </w:t>
      </w:r>
    </w:p>
    <w:p w14:paraId="51846D99" w14:textId="77777777" w:rsidR="007D0AF3" w:rsidRDefault="007D0AF3" w:rsidP="007D0AF3"/>
    <w:p w14:paraId="652FC86B" w14:textId="5C555AAC" w:rsidR="00DD6BC1" w:rsidRPr="002A7D65" w:rsidRDefault="007769D8" w:rsidP="007769D8">
      <w:pPr>
        <w:pStyle w:val="Heading3"/>
      </w:pPr>
      <w:bookmarkStart w:id="22" w:name="_Toc167452327"/>
      <w:r>
        <w:t>Izcilības stipendijas</w:t>
      </w:r>
      <w:bookmarkEnd w:id="22"/>
      <w:r w:rsidR="00DD6BC1" w:rsidRPr="002A7D65">
        <w:t xml:space="preserve"> </w:t>
      </w:r>
    </w:p>
    <w:p w14:paraId="40C99D15" w14:textId="0CAD2083" w:rsidR="00157DCD" w:rsidRDefault="007E2952" w:rsidP="00405688">
      <w:r>
        <w:t xml:space="preserve"> Lai gan pašlaik </w:t>
      </w:r>
      <w:r w:rsidR="0083123F">
        <w:t>stipendijas tiek piešķirtas pēc akadēmiskajiem kritērijiem, lai uz tām pretendētu ir nepieciešams vispirms studēt valsts budžeta finansētajā studiju vietā</w:t>
      </w:r>
      <w:r w:rsidR="00405688">
        <w:t>.</w:t>
      </w:r>
      <w:r w:rsidR="0083123F">
        <w:t xml:space="preserve"> Attiecīgi, ja </w:t>
      </w:r>
      <w:r w:rsidR="007C13AF">
        <w:t xml:space="preserve">izcils reflektants, kas, piemēram, ieguvis godalgotas vietas pasaules olimpiādēs, izlemj studēt </w:t>
      </w:r>
      <w:r w:rsidR="000D5B33">
        <w:t>maksas studiju vietā, tam nav iespējas pretendēt uz valsts budžeta stipendijas iegūšanu. Lai mudinātu izcilus reflektan</w:t>
      </w:r>
      <w:r w:rsidR="007D63B4">
        <w:t xml:space="preserve">tus </w:t>
      </w:r>
      <w:r w:rsidR="003B36B0">
        <w:t>izvēlēties par labu studijām Latvijā, ir nepieciešams</w:t>
      </w:r>
      <w:r w:rsidR="001F533D">
        <w:t xml:space="preserve"> tieši tiem mērķēts finanšu atbalsta rīks.</w:t>
      </w:r>
      <w:r>
        <w:t xml:space="preserve"> </w:t>
      </w:r>
      <w:r w:rsidR="00405688">
        <w:t xml:space="preserve"> Izcilības stipendijas būtu valsts piešķirtas stipendijas, kas </w:t>
      </w:r>
      <w:r w:rsidR="005739C5">
        <w:t>tiktu piešķirtas primāri pēc akadēmiskajiem sasniegumiem. Tās varētu būt valsts stipendi</w:t>
      </w:r>
      <w:r w:rsidR="004D588A">
        <w:t xml:space="preserve">jas indivīdiem ar izciliem valsts </w:t>
      </w:r>
      <w:r w:rsidR="00AB45B6">
        <w:t xml:space="preserve">pārbaudes darbu rezultātiem vai arī sasniegumiem starptautiskajās olimpiādēs. Šo stipendiju mērķis būtu </w:t>
      </w:r>
      <w:r w:rsidR="00C0195E">
        <w:t>nodrošināt izcilu talantu izvēli par labu palikšanai studēt Latvijā.</w:t>
      </w:r>
      <w:r w:rsidR="00157DCD" w:rsidRPr="00157DCD">
        <w:t xml:space="preserve"> </w:t>
      </w:r>
    </w:p>
    <w:p w14:paraId="59BA780E" w14:textId="35614A24" w:rsidR="00157DCD" w:rsidRPr="002A7D65" w:rsidRDefault="00157DCD" w:rsidP="00D54811">
      <w:r>
        <w:lastRenderedPageBreak/>
        <w:t>Jaunu stipendiju ieviešanai nākotnē IZM nākotnē vai nu radīs finansējumu esošā finansējuma ietvaros, vai arī virzīs prioritāro pasākumu ar plānoto stipendiju apmēru, kritērijiem, un finanšu ietekmes aprēķiniem.</w:t>
      </w:r>
      <w:r w:rsidR="00156245" w:rsidRPr="00156245">
        <w:t xml:space="preserve"> P</w:t>
      </w:r>
      <w:r w:rsidR="00156245">
        <w:t>rioritārais pasākums</w:t>
      </w:r>
      <w:r w:rsidR="00156245" w:rsidRPr="00156245">
        <w:t xml:space="preserve"> skatāms kopā ar citu</w:t>
      </w:r>
      <w:r w:rsidR="00156245">
        <w:t xml:space="preserve"> ministriju prioritārajiem pasākumiem</w:t>
      </w:r>
      <w:r w:rsidR="00156245" w:rsidRPr="00156245">
        <w:t xml:space="preserve"> budžeta veidošanas procesā</w:t>
      </w:r>
    </w:p>
    <w:p w14:paraId="472A2E24" w14:textId="77777777" w:rsidR="00DD6BC1" w:rsidRPr="002A7D65" w:rsidRDefault="00DD6BC1" w:rsidP="00DD6BC1">
      <w:pPr>
        <w:ind w:firstLine="0"/>
      </w:pPr>
    </w:p>
    <w:p w14:paraId="3CE1041A" w14:textId="77777777" w:rsidR="00DD6BC1" w:rsidRPr="002A7D65" w:rsidRDefault="00DD6BC1" w:rsidP="002B77F4">
      <w:pPr>
        <w:pStyle w:val="Heading3"/>
      </w:pPr>
      <w:bookmarkStart w:id="23" w:name="_Toc167452328"/>
      <w:r w:rsidRPr="002A7D65">
        <w:t>Jomas stipendijas</w:t>
      </w:r>
      <w:bookmarkEnd w:id="23"/>
    </w:p>
    <w:p w14:paraId="5A7B91B8" w14:textId="6438A238" w:rsidR="002B77F4" w:rsidRDefault="002B77F4" w:rsidP="002B77F4">
      <w:r>
        <w:t>Vienlaikus, arī katrai stipendiju programmai var būt īpašības no citiem tipiem, piemēram, tā var būt paredzēta jomā studējošajiem, ja tie nāk no kādas konkrētas demogrāfiskās grupas, piemēram sievietes STEM studijās. Tāpat arī tā var būt jomas stipendija, kurā ir minimālās akadēmiskās prasības. Katrai jomas stipendijai varēs noteikt savas prasības, lai nodrošinātu tās mērķu efektīvu sasniegšanu</w:t>
      </w:r>
      <w:r w:rsidR="000C431E">
        <w:t>, piemēram, j</w:t>
      </w:r>
      <w:r w:rsidR="00D63DF0" w:rsidRPr="00D63DF0">
        <w:t>omas stipendija var</w:t>
      </w:r>
      <w:r w:rsidR="000C431E">
        <w:t>ēs</w:t>
      </w:r>
      <w:r w:rsidR="00D63DF0" w:rsidRPr="00D63DF0">
        <w:t xml:space="preserve"> tikt veidota</w:t>
      </w:r>
      <w:r w:rsidR="00592B2F">
        <w:t>, piemēram,</w:t>
      </w:r>
      <w:r w:rsidR="00D63DF0" w:rsidRPr="00D63DF0">
        <w:t xml:space="preserve"> stipendiju programmās nepieciešamo ārstniecības personu sagatavošanai</w:t>
      </w:r>
      <w:r w:rsidR="00592B2F">
        <w:t xml:space="preserve"> vai </w:t>
      </w:r>
      <w:r w:rsidR="00D9562F">
        <w:t>mūzikas jomas pedagogu sagatavošanai</w:t>
      </w:r>
      <w:r w:rsidR="00D63DF0" w:rsidRPr="00D63DF0">
        <w:t>.</w:t>
      </w:r>
    </w:p>
    <w:p w14:paraId="519229A4" w14:textId="56CA6E9F" w:rsidR="002B77F4" w:rsidRPr="00616E89" w:rsidRDefault="001E3E84" w:rsidP="002B77F4">
      <w:r w:rsidRPr="001E3E84">
        <w:t>Kā pirmā jomas stipendija tika veidota stipendiju programma nepieciešamo skolotāju sagatavošanai, kuras ietvaros ministrija sāka piešķirt pirmās stipendijas  sākot ar 2023. gada rudens semestri. Lai nodrošinātu valsts izglītības iestādēs nepieciešamo skolotāju skaitu un veicinātu vidējās izglītības absolventu interesi par studijām skolotāju sagatavošanas programmās, it īpaši  jomās, kurās ir identificēts pedagogu trūkums, prioritārajās izglītības (STEM jomu, svešvalodu (ES valodu) un latviešu valodas un literatūras mācību) jomās, šo prioritāro studiju programmu studējošajiem maksā valsts budžeta stipendiju 300 euro apmērā, sākot ar 1. kursu</w:t>
      </w:r>
      <w:r>
        <w:t xml:space="preserve">. </w:t>
      </w:r>
      <w:r w:rsidR="002B77F4">
        <w:t>Lai šīs stipendijas saņemtu, studējošajam ir jāizpilda sekojošie kritēriji:</w:t>
      </w:r>
    </w:p>
    <w:p w14:paraId="6F5464B2" w14:textId="77777777" w:rsidR="002B77F4" w:rsidRPr="006C1DB7" w:rsidRDefault="002B77F4" w:rsidP="002B77F4">
      <w:pPr>
        <w:pStyle w:val="ListParagraph"/>
        <w:numPr>
          <w:ilvl w:val="0"/>
          <w:numId w:val="12"/>
        </w:numPr>
        <w:rPr>
          <w:rFonts w:asciiTheme="minorHAnsi" w:hAnsiTheme="minorHAnsi" w:cstheme="minorHAnsi"/>
          <w:sz w:val="24"/>
        </w:rPr>
      </w:pPr>
      <w:r w:rsidRPr="006C1DB7">
        <w:rPr>
          <w:rFonts w:asciiTheme="minorHAnsi" w:hAnsiTheme="minorHAnsi" w:cstheme="minorHAnsi"/>
          <w:sz w:val="24"/>
        </w:rPr>
        <w:t xml:space="preserve">students studē pilna laika bakalaura/ 1. cikla profesionālajā augstākajā izglītībā kādā no skolotāju sagatavošanas studiju programmām šādās jomās: </w:t>
      </w:r>
    </w:p>
    <w:p w14:paraId="13A804FE" w14:textId="77777777" w:rsidR="002B77F4" w:rsidRPr="006C1DB7" w:rsidRDefault="002B77F4" w:rsidP="002B77F4">
      <w:pPr>
        <w:pStyle w:val="ListParagraph"/>
        <w:numPr>
          <w:ilvl w:val="0"/>
          <w:numId w:val="12"/>
        </w:numPr>
        <w:rPr>
          <w:rFonts w:asciiTheme="minorHAnsi" w:hAnsiTheme="minorHAnsi" w:cstheme="minorHAnsi"/>
          <w:sz w:val="24"/>
        </w:rPr>
      </w:pPr>
      <w:r w:rsidRPr="006C1DB7">
        <w:rPr>
          <w:rFonts w:asciiTheme="minorHAnsi" w:hAnsiTheme="minorHAnsi" w:cstheme="minorHAnsi"/>
          <w:sz w:val="24"/>
        </w:rPr>
        <w:t xml:space="preserve">STEM (dabaszinātņu, tehnoloģiju un matemātikas mācību tēmas), </w:t>
      </w:r>
    </w:p>
    <w:p w14:paraId="2FD42F5C" w14:textId="77777777" w:rsidR="002B77F4" w:rsidRPr="006C1DB7" w:rsidRDefault="002B77F4" w:rsidP="002B77F4">
      <w:pPr>
        <w:pStyle w:val="ListParagraph"/>
        <w:numPr>
          <w:ilvl w:val="0"/>
          <w:numId w:val="12"/>
        </w:numPr>
        <w:rPr>
          <w:rFonts w:asciiTheme="minorHAnsi" w:hAnsiTheme="minorHAnsi" w:cstheme="minorHAnsi"/>
          <w:sz w:val="24"/>
        </w:rPr>
      </w:pPr>
      <w:r w:rsidRPr="006C1DB7">
        <w:rPr>
          <w:rFonts w:asciiTheme="minorHAnsi" w:hAnsiTheme="minorHAnsi" w:cstheme="minorHAnsi"/>
          <w:sz w:val="24"/>
        </w:rPr>
        <w:t>valodas (svešvalodas (E</w:t>
      </w:r>
      <w:r>
        <w:rPr>
          <w:rFonts w:asciiTheme="minorHAnsi" w:hAnsiTheme="minorHAnsi" w:cstheme="minorHAnsi"/>
          <w:sz w:val="24"/>
        </w:rPr>
        <w:t>EZ</w:t>
      </w:r>
      <w:r w:rsidRPr="006C1DB7">
        <w:rPr>
          <w:rFonts w:asciiTheme="minorHAnsi" w:hAnsiTheme="minorHAnsi" w:cstheme="minorHAnsi"/>
          <w:sz w:val="24"/>
        </w:rPr>
        <w:t xml:space="preserve"> valodas) un latviešu valoda un literatūra);</w:t>
      </w:r>
    </w:p>
    <w:p w14:paraId="7A29A0E7" w14:textId="77777777" w:rsidR="002B77F4" w:rsidRPr="006C1DB7" w:rsidRDefault="002B77F4" w:rsidP="002B77F4">
      <w:pPr>
        <w:pStyle w:val="ListParagraph"/>
        <w:numPr>
          <w:ilvl w:val="0"/>
          <w:numId w:val="12"/>
        </w:numPr>
        <w:rPr>
          <w:rFonts w:asciiTheme="minorHAnsi" w:hAnsiTheme="minorHAnsi" w:cstheme="minorHAnsi"/>
          <w:sz w:val="24"/>
        </w:rPr>
      </w:pPr>
      <w:r>
        <w:rPr>
          <w:rFonts w:asciiTheme="minorHAnsi" w:hAnsiTheme="minorHAnsi" w:cstheme="minorHAnsi"/>
          <w:sz w:val="24"/>
        </w:rPr>
        <w:t xml:space="preserve">students, sākot ar otro studiju gadu, </w:t>
      </w:r>
      <w:r w:rsidRPr="00E743BD">
        <w:rPr>
          <w:rFonts w:asciiTheme="minorHAnsi" w:hAnsiTheme="minorHAnsi" w:cstheme="minorHAnsi"/>
          <w:sz w:val="24"/>
        </w:rPr>
        <w:t>strādā par pedagogu vai pedagoga palīgu izglītības iestādē, nepārsniedzot pusi no pedagogam noteiktās darba slodzes, kas atbilst vienai mēneša darba algas likmei, neveicot blakus darbu</w:t>
      </w:r>
      <w:r>
        <w:rPr>
          <w:rFonts w:asciiTheme="minorHAnsi" w:hAnsiTheme="minorHAnsi" w:cstheme="minorHAnsi"/>
          <w:sz w:val="24"/>
        </w:rPr>
        <w:t>;</w:t>
      </w:r>
    </w:p>
    <w:p w14:paraId="2A0EBEDF" w14:textId="77777777" w:rsidR="002B77F4" w:rsidRPr="006C1DB7" w:rsidRDefault="002B77F4" w:rsidP="002B77F4">
      <w:pPr>
        <w:pStyle w:val="ListParagraph"/>
        <w:numPr>
          <w:ilvl w:val="0"/>
          <w:numId w:val="12"/>
        </w:numPr>
        <w:rPr>
          <w:rFonts w:asciiTheme="minorHAnsi" w:hAnsiTheme="minorHAnsi" w:cstheme="minorHAnsi"/>
          <w:sz w:val="24"/>
        </w:rPr>
      </w:pPr>
      <w:r w:rsidRPr="006C1DB7">
        <w:rPr>
          <w:rFonts w:asciiTheme="minorHAnsi" w:hAnsiTheme="minorHAnsi" w:cstheme="minorHAnsi"/>
          <w:sz w:val="24"/>
        </w:rPr>
        <w:t>pēc 1. semestra students ir bijis praksē izglītības iestādē un augstskola ir saņēmusi pozitīvu prakses vadītāja/iestādes atsauksmi par studējošā profesionālo piemērotību skolotāja profesijai;</w:t>
      </w:r>
    </w:p>
    <w:p w14:paraId="12BD3BB8" w14:textId="77777777" w:rsidR="002B77F4" w:rsidRPr="006C69E6" w:rsidRDefault="002B77F4" w:rsidP="002B77F4">
      <w:pPr>
        <w:pStyle w:val="ListParagraph"/>
        <w:numPr>
          <w:ilvl w:val="0"/>
          <w:numId w:val="12"/>
        </w:numPr>
        <w:rPr>
          <w:rFonts w:asciiTheme="minorHAnsi" w:hAnsiTheme="minorHAnsi" w:cstheme="minorHAnsi"/>
          <w:sz w:val="24"/>
        </w:rPr>
      </w:pPr>
      <w:r w:rsidRPr="006C1DB7">
        <w:rPr>
          <w:rFonts w:asciiTheme="minorHAnsi" w:hAnsiTheme="minorHAnsi" w:cstheme="minorHAnsi"/>
          <w:sz w:val="24"/>
        </w:rPr>
        <w:t xml:space="preserve">sākot ar </w:t>
      </w:r>
      <w:r>
        <w:rPr>
          <w:rFonts w:asciiTheme="minorHAnsi" w:hAnsiTheme="minorHAnsi" w:cstheme="minorHAnsi"/>
          <w:sz w:val="24"/>
        </w:rPr>
        <w:t>3</w:t>
      </w:r>
      <w:r w:rsidRPr="006C1DB7">
        <w:rPr>
          <w:rFonts w:asciiTheme="minorHAnsi" w:hAnsiTheme="minorHAnsi" w:cstheme="minorHAnsi"/>
          <w:sz w:val="24"/>
        </w:rPr>
        <w:t>. semestri priekšroka atbalsta saņemšanai ir tiem studentiem, kas ir parakstījuši līgumu / nodomu protokolu, vienojoties ar izglītības iestādi vai pašvaldību par nodarbinātību izglītības iestādē, kurā plāno strādāt vismaz 3 gadus pēc skolotāja profesionālās kvalifikācijas iegūšanas.</w:t>
      </w:r>
      <w:r w:rsidRPr="006C69E6">
        <w:rPr>
          <w:rFonts w:cstheme="minorHAnsi"/>
        </w:rPr>
        <w:t xml:space="preserve"> </w:t>
      </w:r>
    </w:p>
    <w:p w14:paraId="529AC68C" w14:textId="77777777" w:rsidR="00DD6BC1" w:rsidRPr="002A7D65" w:rsidRDefault="00DD6BC1" w:rsidP="00DD6BC1">
      <w:pPr>
        <w:ind w:firstLine="0"/>
      </w:pPr>
    </w:p>
    <w:p w14:paraId="78C4EEE6" w14:textId="77777777" w:rsidR="004E2733" w:rsidRPr="002A7D65" w:rsidRDefault="004E2733" w:rsidP="00DD6BC1">
      <w:pPr>
        <w:ind w:firstLine="0"/>
      </w:pPr>
    </w:p>
    <w:p w14:paraId="7E171121" w14:textId="77777777" w:rsidR="004E2733" w:rsidRPr="002A7D65" w:rsidRDefault="004E2733" w:rsidP="004E2733">
      <w:pPr>
        <w:pStyle w:val="Heading1"/>
      </w:pPr>
      <w:bookmarkStart w:id="24" w:name="_Toc167452329"/>
      <w:r w:rsidRPr="002A7D65">
        <w:t>Sistēmas snieguma  uzraudzības pilnveide</w:t>
      </w:r>
      <w:bookmarkEnd w:id="24"/>
    </w:p>
    <w:p w14:paraId="500EF97B" w14:textId="77777777" w:rsidR="004E2733" w:rsidRPr="002A7D65" w:rsidRDefault="004E2733" w:rsidP="004E2733"/>
    <w:p w14:paraId="519D65B8" w14:textId="77777777" w:rsidR="00DC0ED0" w:rsidRDefault="00DC0ED0" w:rsidP="00DC0ED0">
      <w:r>
        <w:t xml:space="preserve">Sekmīgai augstākās izglītības finansēšanas sistēmas pilnveidei ir nepieciešams arī pilnveidot sistēmas snieguma uzraudzību, kas nodrošinātu to, ka tiek identificētas nepilnības </w:t>
      </w:r>
      <w:r>
        <w:lastRenderedPageBreak/>
        <w:t xml:space="preserve">sistēmā, ja tādas rodas. Tāpat arī snieguma uzraudzības pilnveidei ir plānots, ka vidēji reizi trijos gados IZM aktualizē studiju izmaksu statistiku, lai varētu sekot līdzi izmaksu izmaiņām un </w:t>
      </w:r>
      <w:proofErr w:type="spellStart"/>
      <w:r>
        <w:t>monitorēt</w:t>
      </w:r>
      <w:proofErr w:type="spellEnd"/>
      <w:r>
        <w:t xml:space="preserve"> augstākās izglītības iestādes.</w:t>
      </w:r>
    </w:p>
    <w:p w14:paraId="07B4B29B" w14:textId="31D28C2C" w:rsidR="000A5E7F" w:rsidRDefault="00DC0ED0" w:rsidP="00046858">
      <w:r>
        <w:t xml:space="preserve">Lai labāk iegūtu informāciju par studējošo apmierinātību ar studijām, ko varētu izmantot, lai informētu politikas veidotājus, studējošos un pašas </w:t>
      </w:r>
      <w:r w:rsidR="008C6843">
        <w:t>AII</w:t>
      </w:r>
      <w:r>
        <w:t xml:space="preserve">, tiks ieviesta arī nacionālā studējošo, absolventu un bez diploma eksmatrikulēto </w:t>
      </w:r>
      <w:r w:rsidR="007E3FEB">
        <w:t xml:space="preserve">(atbirušo) </w:t>
      </w:r>
      <w:r>
        <w:t>aptauja</w:t>
      </w:r>
      <w:r w:rsidR="00DB3303">
        <w:t xml:space="preserve"> sadarbībā ar Latvijas Studentu apvienību</w:t>
      </w:r>
      <w:r>
        <w:t xml:space="preserve">. Aptaujas ietvaros tiktu iegūta informācija par studējošo un bez diploma eksmatrikulēto indivīdu apmierinātību ar studijām, mācīšanas kvalitāti, mācīšanas iespējām, akadēmisko atbalstu, studiju pārtraukšanas iemesliem, studiju organizāciju, mācīšanās resursiem, mācīšanās vidi un studējošo pārstāvniecību. </w:t>
      </w:r>
    </w:p>
    <w:p w14:paraId="1FA12A9B" w14:textId="029C3424" w:rsidR="00DC0ED0" w:rsidRDefault="00DC0ED0" w:rsidP="00DC0ED0">
      <w:r>
        <w:t xml:space="preserve">Lai veicinātu augstākās izglītības sistēmas caurskatāmību, informētu reflektantu izvēli, kā arī padarītu </w:t>
      </w:r>
      <w:r w:rsidR="008C6843">
        <w:t>AII</w:t>
      </w:r>
      <w:r>
        <w:t xml:space="preserve"> savstarpēji salīdzināmākas, tiks izveidota vienota, ministrijas koordinēta valsts studējošo, absolventu un atbirušo aptauja, kas regulāri apkopos studējošo, absolventu un atbirušo viedokli par studijām, to vērtību un kvalitāti. Šāda aptauja ļaus iegūt salīdzināmus valsts līmeņa datus par augstāko izglītību Latvijā un informēs politikas plānošanu.</w:t>
      </w:r>
    </w:p>
    <w:p w14:paraId="668BDD8B" w14:textId="2FF32439" w:rsidR="003C0A87" w:rsidRPr="00616E89" w:rsidRDefault="00DC0ED0" w:rsidP="00BC2AFE">
      <w:r>
        <w:t>Ņemot vērā to, ka iestādes turpmāk varēs brīvāk noteikt studiju izmaksas dažādās studiju jomās, palielināsies nepieciešamība pēc sistēmas izmaksu monitoringa, lai varētu apzināties izmaksu samērīgumu ar sasniegto rezultātu. Izmaksu monitorings arī ļaus veidot informētāku studējošo finansiālā atbalsta politiku un izvērtēt iestāžu finansiālo veselību.</w:t>
      </w:r>
    </w:p>
    <w:p w14:paraId="1EBF18FB" w14:textId="3222DD37" w:rsidR="003C0A87" w:rsidRPr="002A7D65" w:rsidRDefault="00B949D7" w:rsidP="003C0A87">
      <w:r>
        <w:t>Nacionālās studējošo aptaujas finanšu aprēķiniem par pamatu ir ņemta</w:t>
      </w:r>
      <w:r w:rsidR="00E818FF">
        <w:t>s izmaksas EUROSTUDENT aptaujai par studentu sociālajiem un ekonomiskajiem dzīves apstākļiem</w:t>
      </w:r>
      <w:r w:rsidR="00E818FF">
        <w:rPr>
          <w:rStyle w:val="FootnoteReference"/>
        </w:rPr>
        <w:footnoteReference w:id="34"/>
      </w:r>
      <w:r w:rsidR="00E818FF">
        <w:t xml:space="preserve">. Ņemot vērā plašāku </w:t>
      </w:r>
      <w:r w:rsidR="00390F2E">
        <w:t xml:space="preserve">aptaujājamo un arī jautājumu loku, aptaujas izmaksas plānojas 50 000 </w:t>
      </w:r>
      <w:r w:rsidR="00390F2E">
        <w:rPr>
          <w:i/>
          <w:iCs/>
        </w:rPr>
        <w:t xml:space="preserve">euro </w:t>
      </w:r>
      <w:r w:rsidR="00390F2E">
        <w:t>apmērā.</w:t>
      </w:r>
      <w:r>
        <w:t xml:space="preserve"> </w:t>
      </w:r>
      <w:r w:rsidR="003C0A87">
        <w:t>Ir plānots, ka finansējums tiks piešķirts, to 2024.-2026. pārdalot uz IZM budžeta apakšprogrammu 03.03.00 “Zinātniskās darbības attīstība augstskolās un koledžās” no budžeta resora “74. Gadskārtējā valsts budžeta izpildes procesā pārdalāmais finansējums” programmas 09.00.00 “Valsts nozīmes reformas īstenošanai”.</w:t>
      </w:r>
    </w:p>
    <w:p w14:paraId="276E0D7E" w14:textId="77777777" w:rsidR="003C0A87" w:rsidRPr="002A7D65" w:rsidRDefault="003C0A87" w:rsidP="00DC0ED0"/>
    <w:p w14:paraId="6E5E49AC" w14:textId="77777777" w:rsidR="004E2733" w:rsidRPr="002A7D65" w:rsidRDefault="004E2733" w:rsidP="004E2733">
      <w:pPr>
        <w:pStyle w:val="Heading1"/>
      </w:pPr>
      <w:bookmarkStart w:id="25" w:name="_Toc167452330"/>
      <w:r w:rsidRPr="002A7D65">
        <w:t>Riski, ja situācija nemainās</w:t>
      </w:r>
      <w:bookmarkEnd w:id="25"/>
    </w:p>
    <w:p w14:paraId="7487B0F1" w14:textId="77777777" w:rsidR="004E2733" w:rsidRPr="002A7D65" w:rsidRDefault="004E2733" w:rsidP="004E2733"/>
    <w:p w14:paraId="1A3B08D1" w14:textId="77777777" w:rsidR="009C7377" w:rsidRPr="00616E89" w:rsidRDefault="009C7377" w:rsidP="009C7377">
      <w:pPr>
        <w:rPr>
          <w:rFonts w:cstheme="minorHAnsi"/>
        </w:rPr>
      </w:pPr>
      <w:r w:rsidRPr="00616E89">
        <w:t>Pašreizējā augstākās izglītības sistēma veicina nevienlīdzību sabiedrībā, pastāv sadrumstalota augstākās izglītības sistēma ar zemu kvalitāti un zemu starptautisko konkurētspēju, radot Latvijas ekonomisko atpalicību. Pieaug risks, ka Latvija iestrēg</w:t>
      </w:r>
      <w:r>
        <w:t>s</w:t>
      </w:r>
      <w:r w:rsidRPr="00616E89">
        <w:t xml:space="preserve"> vidējo </w:t>
      </w:r>
      <w:r w:rsidRPr="00616E89">
        <w:rPr>
          <w:rFonts w:cstheme="minorHAnsi"/>
        </w:rPr>
        <w:t xml:space="preserve">ienākumu slazdā un nespēs attīstīties līdzi pasaules ekonomikai un veikt savas ekonomikas transformāciju un digitalizāciju cilvēkkapitāla trūkuma dēļ. </w:t>
      </w:r>
    </w:p>
    <w:p w14:paraId="65CE0753" w14:textId="77777777" w:rsidR="009C7377" w:rsidRPr="00616E89" w:rsidRDefault="009C7377" w:rsidP="009C7377">
      <w:pPr>
        <w:rPr>
          <w:rFonts w:cstheme="minorHAnsi"/>
        </w:rPr>
      </w:pPr>
      <w:r w:rsidRPr="00616E89">
        <w:rPr>
          <w:rFonts w:cstheme="minorHAnsi"/>
        </w:rPr>
        <w:t>Būtiskākie riski, ja situācija nemainās:</w:t>
      </w:r>
    </w:p>
    <w:p w14:paraId="2BFBED58" w14:textId="77777777" w:rsidR="009C7377" w:rsidRPr="00616E89" w:rsidRDefault="009C7377" w:rsidP="009C7377">
      <w:pPr>
        <w:pStyle w:val="ListParagraph"/>
        <w:numPr>
          <w:ilvl w:val="0"/>
          <w:numId w:val="6"/>
        </w:numPr>
        <w:rPr>
          <w:rFonts w:asciiTheme="minorHAnsi" w:hAnsiTheme="minorHAnsi" w:cstheme="minorHAnsi"/>
          <w:sz w:val="24"/>
        </w:rPr>
      </w:pPr>
      <w:r w:rsidRPr="00616E89">
        <w:rPr>
          <w:rFonts w:asciiTheme="minorHAnsi" w:hAnsiTheme="minorHAnsi" w:cstheme="minorHAnsi"/>
          <w:sz w:val="24"/>
        </w:rPr>
        <w:t>Ekonomiskie riski:</w:t>
      </w:r>
    </w:p>
    <w:p w14:paraId="7ACD1BE9" w14:textId="77777777" w:rsidR="009C7377" w:rsidRPr="00616E89" w:rsidRDefault="009C7377" w:rsidP="009C7377">
      <w:pPr>
        <w:pStyle w:val="ListParagraph"/>
        <w:numPr>
          <w:ilvl w:val="1"/>
          <w:numId w:val="6"/>
        </w:numPr>
        <w:rPr>
          <w:rFonts w:asciiTheme="minorHAnsi" w:hAnsiTheme="minorHAnsi" w:cstheme="minorHAnsi"/>
          <w:sz w:val="24"/>
        </w:rPr>
      </w:pPr>
      <w:r w:rsidRPr="00616E89">
        <w:rPr>
          <w:rFonts w:asciiTheme="minorHAnsi" w:hAnsiTheme="minorHAnsi" w:cstheme="minorHAnsi"/>
          <w:sz w:val="24"/>
        </w:rPr>
        <w:t>Nepietiekams pieejamo resursu daudzums, kas mazinās augstākās izglītības kvalitāti;</w:t>
      </w:r>
    </w:p>
    <w:p w14:paraId="29B4BCC5" w14:textId="77777777" w:rsidR="009C7377" w:rsidRPr="00616E89" w:rsidRDefault="009C7377" w:rsidP="009C7377">
      <w:pPr>
        <w:pStyle w:val="ListParagraph"/>
        <w:numPr>
          <w:ilvl w:val="1"/>
          <w:numId w:val="6"/>
        </w:numPr>
        <w:rPr>
          <w:rFonts w:asciiTheme="minorHAnsi" w:hAnsiTheme="minorHAnsi" w:cstheme="minorHAnsi"/>
          <w:sz w:val="24"/>
        </w:rPr>
      </w:pPr>
      <w:r w:rsidRPr="00616E89">
        <w:rPr>
          <w:rFonts w:asciiTheme="minorHAnsi" w:hAnsiTheme="minorHAnsi" w:cstheme="minorHAnsi"/>
          <w:sz w:val="24"/>
        </w:rPr>
        <w:t>Ierobežotas iespējas un stimuli palielināt ārējā finansējuma piesaisti;</w:t>
      </w:r>
    </w:p>
    <w:p w14:paraId="15BAA69D" w14:textId="77777777" w:rsidR="009C7377" w:rsidRPr="00616E89" w:rsidRDefault="009C7377" w:rsidP="009C7377">
      <w:pPr>
        <w:pStyle w:val="ListParagraph"/>
        <w:numPr>
          <w:ilvl w:val="1"/>
          <w:numId w:val="6"/>
        </w:numPr>
        <w:rPr>
          <w:rFonts w:asciiTheme="minorHAnsi" w:hAnsiTheme="minorHAnsi" w:cstheme="minorHAnsi"/>
          <w:sz w:val="24"/>
        </w:rPr>
      </w:pPr>
      <w:r w:rsidRPr="00616E89">
        <w:rPr>
          <w:rFonts w:asciiTheme="minorHAnsi" w:hAnsiTheme="minorHAnsi" w:cstheme="minorHAnsi"/>
          <w:sz w:val="24"/>
        </w:rPr>
        <w:lastRenderedPageBreak/>
        <w:t>Nepietiekams cilvēkkapitāla apjoms valsts tautsaimniecībā</w:t>
      </w:r>
      <w:r>
        <w:rPr>
          <w:rFonts w:asciiTheme="minorHAnsi" w:hAnsiTheme="minorHAnsi" w:cstheme="minorHAnsi"/>
          <w:sz w:val="24"/>
        </w:rPr>
        <w:t>, gan dēļ viduvējas augstākās izglītības kvalitātes, gan dēļ neattīstītas tālākizglītības;</w:t>
      </w:r>
    </w:p>
    <w:p w14:paraId="34968EBB" w14:textId="77777777" w:rsidR="009C7377" w:rsidRPr="00616E89" w:rsidRDefault="009C7377" w:rsidP="009C7377">
      <w:pPr>
        <w:pStyle w:val="ListParagraph"/>
        <w:numPr>
          <w:ilvl w:val="0"/>
          <w:numId w:val="6"/>
        </w:numPr>
        <w:rPr>
          <w:rFonts w:asciiTheme="minorHAnsi" w:hAnsiTheme="minorHAnsi" w:cstheme="minorHAnsi"/>
          <w:sz w:val="24"/>
        </w:rPr>
      </w:pPr>
      <w:r w:rsidRPr="00616E89">
        <w:rPr>
          <w:rFonts w:asciiTheme="minorHAnsi" w:hAnsiTheme="minorHAnsi" w:cstheme="minorHAnsi"/>
          <w:sz w:val="24"/>
        </w:rPr>
        <w:t>Sociālie riski:</w:t>
      </w:r>
    </w:p>
    <w:p w14:paraId="0EEE7088" w14:textId="08FD1EE7" w:rsidR="009C7377" w:rsidRPr="00616E89" w:rsidRDefault="009C7377" w:rsidP="009C7377">
      <w:pPr>
        <w:pStyle w:val="ListParagraph"/>
        <w:numPr>
          <w:ilvl w:val="1"/>
          <w:numId w:val="6"/>
        </w:numPr>
        <w:rPr>
          <w:rFonts w:asciiTheme="minorHAnsi" w:hAnsiTheme="minorHAnsi" w:cstheme="minorHAnsi"/>
          <w:sz w:val="24"/>
        </w:rPr>
      </w:pPr>
      <w:r w:rsidRPr="00616E89">
        <w:rPr>
          <w:rFonts w:asciiTheme="minorHAnsi" w:hAnsiTheme="minorHAnsi" w:cstheme="minorHAnsi"/>
          <w:sz w:val="24"/>
        </w:rPr>
        <w:t>Finansēšanas sistēma faktiski finansēs turīgākus studentus, radot nevienlīdzību</w:t>
      </w:r>
      <w:r w:rsidR="009331CC">
        <w:rPr>
          <w:rFonts w:asciiTheme="minorHAnsi" w:hAnsiTheme="minorHAnsi" w:cstheme="minorHAnsi"/>
          <w:sz w:val="24"/>
        </w:rPr>
        <w:t>;</w:t>
      </w:r>
    </w:p>
    <w:p w14:paraId="317B3EFD" w14:textId="77777777" w:rsidR="009C7377" w:rsidRPr="00616E89" w:rsidRDefault="009C7377" w:rsidP="009C7377">
      <w:pPr>
        <w:pStyle w:val="ListParagraph"/>
        <w:numPr>
          <w:ilvl w:val="0"/>
          <w:numId w:val="6"/>
        </w:numPr>
        <w:rPr>
          <w:rFonts w:asciiTheme="minorHAnsi" w:hAnsiTheme="minorHAnsi" w:cstheme="minorHAnsi"/>
          <w:sz w:val="24"/>
        </w:rPr>
      </w:pPr>
      <w:r w:rsidRPr="00616E89">
        <w:rPr>
          <w:rFonts w:asciiTheme="minorHAnsi" w:hAnsiTheme="minorHAnsi" w:cstheme="minorHAnsi"/>
          <w:sz w:val="24"/>
        </w:rPr>
        <w:t>Komunikācijas riski</w:t>
      </w:r>
    </w:p>
    <w:p w14:paraId="602C4A59" w14:textId="77777777" w:rsidR="009C7377" w:rsidRPr="00616E89" w:rsidRDefault="009C7377" w:rsidP="009C7377">
      <w:pPr>
        <w:pStyle w:val="ListParagraph"/>
        <w:numPr>
          <w:ilvl w:val="1"/>
          <w:numId w:val="6"/>
        </w:numPr>
        <w:rPr>
          <w:rFonts w:asciiTheme="minorHAnsi" w:hAnsiTheme="minorHAnsi" w:cstheme="minorHAnsi"/>
          <w:sz w:val="24"/>
        </w:rPr>
      </w:pPr>
      <w:r w:rsidRPr="00616E89">
        <w:rPr>
          <w:rFonts w:asciiTheme="minorHAnsi" w:hAnsiTheme="minorHAnsi" w:cstheme="minorHAnsi"/>
          <w:sz w:val="24"/>
        </w:rPr>
        <w:t>Zema akadēmiskā un zinātniskā darba reputācija;</w:t>
      </w:r>
    </w:p>
    <w:p w14:paraId="1E2D1B64" w14:textId="77777777" w:rsidR="009C7377" w:rsidRPr="00616E89" w:rsidRDefault="009C7377" w:rsidP="009C7377">
      <w:pPr>
        <w:pStyle w:val="ListParagraph"/>
        <w:numPr>
          <w:ilvl w:val="1"/>
          <w:numId w:val="6"/>
        </w:numPr>
        <w:rPr>
          <w:rFonts w:asciiTheme="minorHAnsi" w:hAnsiTheme="minorHAnsi" w:cstheme="minorHAnsi"/>
          <w:sz w:val="24"/>
        </w:rPr>
      </w:pPr>
      <w:r w:rsidRPr="00616E89">
        <w:rPr>
          <w:rFonts w:asciiTheme="minorHAnsi" w:hAnsiTheme="minorHAnsi" w:cstheme="minorHAnsi"/>
          <w:sz w:val="24"/>
        </w:rPr>
        <w:t xml:space="preserve">Zems Latvijas kā valsts prestižs tās augstākās izglītības nepietiekamas starptautiskas atpazīstamības dēļ. </w:t>
      </w:r>
    </w:p>
    <w:p w14:paraId="3E3EFF86" w14:textId="77777777" w:rsidR="004E2733" w:rsidRPr="002A7D65" w:rsidRDefault="004E2733" w:rsidP="004E2733"/>
    <w:p w14:paraId="3B9D645C" w14:textId="77777777" w:rsidR="00032B2F" w:rsidRPr="002A7D65" w:rsidRDefault="00032B2F" w:rsidP="00032B2F">
      <w:pPr>
        <w:pStyle w:val="Heading1"/>
      </w:pPr>
      <w:bookmarkStart w:id="26" w:name="_Toc167452331"/>
      <w:r w:rsidRPr="002A7D65">
        <w:t xml:space="preserve">Pārejas posma rīcība – Institucionāla finansējuma </w:t>
      </w:r>
      <w:proofErr w:type="spellStart"/>
      <w:r w:rsidRPr="002A7D65">
        <w:t>izmēģinājumprojekts</w:t>
      </w:r>
      <w:bookmarkEnd w:id="26"/>
      <w:proofErr w:type="spellEnd"/>
    </w:p>
    <w:p w14:paraId="25B610B0" w14:textId="77777777" w:rsidR="004E2733" w:rsidRPr="002A7D65" w:rsidRDefault="004E2733" w:rsidP="004E2733"/>
    <w:p w14:paraId="3EC81F85" w14:textId="77777777" w:rsidR="009D480A" w:rsidRDefault="009D480A" w:rsidP="009D480A">
      <w:pPr>
        <w:rPr>
          <w:rFonts w:eastAsiaTheme="minorEastAsia"/>
        </w:rPr>
      </w:pPr>
      <w:proofErr w:type="spellStart"/>
      <w:r>
        <w:rPr>
          <w:rFonts w:eastAsiaTheme="minorEastAsia"/>
        </w:rPr>
        <w:t>Izmēģinājumprojekta</w:t>
      </w:r>
      <w:proofErr w:type="spellEnd"/>
      <w:r>
        <w:rPr>
          <w:rFonts w:eastAsiaTheme="minorEastAsia"/>
        </w:rPr>
        <w:t xml:space="preserve"> mērķi būs izvērtēt institucionālā finansējuma sistēmas efektivitāti Latvijas augstākajā izglītībā, kā arī identificēt izaicinājumus institucionālā finansējuma ieviešanā, ko nepieciešams atrisināt. IZM</w:t>
      </w:r>
      <w:r w:rsidRPr="00B74F32">
        <w:rPr>
          <w:rFonts w:eastAsiaTheme="minorEastAsia"/>
        </w:rPr>
        <w:t xml:space="preserve"> mērķis ir radīt finansēšanas sistēmu, kas nodrošina vairākus mērķus – efektīvāku finansējuma izlietojumu, autonomiju iestādēm īstenot savas misijas, iespēju nodrošināt pietiekami finansējumu uz studējošo, iespēju veidot mērķētu studējošo atbalstu.</w:t>
      </w:r>
      <w:r>
        <w:rPr>
          <w:rFonts w:eastAsiaTheme="minorEastAsia"/>
        </w:rPr>
        <w:t xml:space="preserve"> Institucionālais finansējums ir lielākas autonomijas došana augstākās izglītības iestādēm, lai tās sasniegtu vēl augstākus mērķis. </w:t>
      </w:r>
    </w:p>
    <w:p w14:paraId="1E6E0C6E" w14:textId="690398A7" w:rsidR="009D480A" w:rsidRDefault="009D480A" w:rsidP="009D480A">
      <w:pPr>
        <w:rPr>
          <w:rFonts w:eastAsiaTheme="minorEastAsia"/>
        </w:rPr>
      </w:pPr>
      <w:proofErr w:type="spellStart"/>
      <w:r>
        <w:rPr>
          <w:rFonts w:eastAsiaTheme="minorEastAsia"/>
        </w:rPr>
        <w:t>Izmēģinājumprojekta</w:t>
      </w:r>
      <w:proofErr w:type="spellEnd"/>
      <w:r>
        <w:rPr>
          <w:rFonts w:eastAsiaTheme="minorEastAsia"/>
        </w:rPr>
        <w:t xml:space="preserve"> ietvaros ar katru iestādi tiks noslēgts līgums uz visu </w:t>
      </w:r>
      <w:proofErr w:type="spellStart"/>
      <w:r>
        <w:rPr>
          <w:rFonts w:eastAsiaTheme="minorEastAsia"/>
        </w:rPr>
        <w:t>izmēģinājumprojekta</w:t>
      </w:r>
      <w:proofErr w:type="spellEnd"/>
      <w:r>
        <w:rPr>
          <w:rFonts w:eastAsiaTheme="minorEastAsia"/>
        </w:rPr>
        <w:t xml:space="preserve"> periodu, lai nodrošinātu finanšu stabilitāti. Šāda ļaus vispirms gūt šauru pieredzi institucionālā finansējuma elastīgā ieviešanā</w:t>
      </w:r>
      <w:r w:rsidR="00DF75E4">
        <w:rPr>
          <w:rFonts w:eastAsiaTheme="minorEastAsia"/>
        </w:rPr>
        <w:t xml:space="preserve"> daļā </w:t>
      </w:r>
      <w:r>
        <w:rPr>
          <w:rFonts w:eastAsiaTheme="minorEastAsia"/>
        </w:rPr>
        <w:t>augstskol</w:t>
      </w:r>
      <w:r w:rsidR="00DF75E4">
        <w:rPr>
          <w:rFonts w:eastAsiaTheme="minorEastAsia"/>
        </w:rPr>
        <w:t>u</w:t>
      </w:r>
      <w:r>
        <w:rPr>
          <w:rFonts w:eastAsiaTheme="minorEastAsia"/>
        </w:rPr>
        <w:t xml:space="preserve"> un, būvējot uz šīs pieredzes, to attiecināt aizvien plašāk.</w:t>
      </w:r>
    </w:p>
    <w:p w14:paraId="7EDFAD00" w14:textId="32B2BFA9" w:rsidR="009D480A" w:rsidRDefault="009D480A" w:rsidP="009D480A">
      <w:r>
        <w:t xml:space="preserve">IZM saredz </w:t>
      </w:r>
      <w:r w:rsidR="003D57C1">
        <w:t xml:space="preserve">vienu </w:t>
      </w:r>
      <w:r>
        <w:t>priekšnosacījum</w:t>
      </w:r>
      <w:r w:rsidR="003D57C1">
        <w:t>u un vairākus papildu kritērijus</w:t>
      </w:r>
      <w:r>
        <w:t>, kas varētu nodrošināt institucionālā finansējuma veiksmīgu aprobāciju.</w:t>
      </w:r>
      <w:r w:rsidR="003D57C1">
        <w:t xml:space="preserve"> Kā priekšnosacījums institucionālā finansējuma </w:t>
      </w:r>
      <w:r w:rsidR="008E31F0">
        <w:t xml:space="preserve">ieviešanai ir attīstīta iestādes finanšu plānošanas un uzskaites sistēma, kas var sniegt informāciju par viena absolventa, studējošā, vai studiju </w:t>
      </w:r>
      <w:r w:rsidR="00804A43">
        <w:t>programmas grupas pašizmaksām</w:t>
      </w:r>
      <w:r w:rsidR="008223DA">
        <w:t xml:space="preserve">, kas </w:t>
      </w:r>
      <w:r w:rsidR="008223DA" w:rsidRPr="008223DA">
        <w:t xml:space="preserve">ļauj sekot valsts budžeta līdzekļu izlietojumam un pieņemt informētus, pamatotus lēmumus par studiju maksu vai </w:t>
      </w:r>
      <w:r w:rsidR="008223DA">
        <w:t>studiju maksas atlaidēm</w:t>
      </w:r>
      <w:r w:rsidR="00804A43">
        <w:t>. Kā papildu kritēriji</w:t>
      </w:r>
      <w:r>
        <w:t xml:space="preserve"> ir ka iestādei ir pietiekami attīstīta pārvaldība, lai varētu realizēt institucionālā finansējuma sniegtās iespējas, attīstīta finanšu sistēma, stipra kvalitātes vadības sistēma, kas spēs nodrošināt rezultātu. </w:t>
      </w:r>
    </w:p>
    <w:p w14:paraId="1D0C17C2" w14:textId="33DA3EEC" w:rsidR="00CD58DC" w:rsidRDefault="00E846D8" w:rsidP="009D480A">
      <w:r>
        <w:t>Iestāžu atbilstību kritērijiem</w:t>
      </w:r>
      <w:r w:rsidR="00E451C8">
        <w:t xml:space="preserve"> v</w:t>
      </w:r>
      <w:r w:rsidRPr="00E846D8">
        <w:t xml:space="preserve">ērtēs Izglītības un zinātnes ministrija, kas saskaņā ar tās nolikumu ir vadošā valsts pārvaldes iestāde izglītības, zinātnes, kosmosa un sporta nozarē, kā arī jaunatnes un valsts valodas politikas jomā, kā arī  Ministru kabinets, ņemot vērā augstskolas </w:t>
      </w:r>
      <w:r w:rsidR="007E3FEB">
        <w:t xml:space="preserve">darbību raksturojušos </w:t>
      </w:r>
      <w:r w:rsidRPr="00E846D8">
        <w:t>datus un līdzšinējo sniegumu.</w:t>
      </w:r>
      <w:r w:rsidR="00C55221">
        <w:t xml:space="preserve"> Augstskolas tiks sarindotas atbilstoši </w:t>
      </w:r>
      <w:r w:rsidR="00AF555B">
        <w:t xml:space="preserve">atbilstībai kritērijiem sava tipa ietvaros. </w:t>
      </w:r>
    </w:p>
    <w:p w14:paraId="15F60C7B" w14:textId="77777777" w:rsidR="00D54811" w:rsidRDefault="00D54811" w:rsidP="009D480A"/>
    <w:p w14:paraId="6FE6A0A1" w14:textId="77777777" w:rsidR="00D54811" w:rsidRDefault="00D54811" w:rsidP="009D480A"/>
    <w:p w14:paraId="795B6645" w14:textId="77777777" w:rsidR="00D54811" w:rsidRDefault="00D54811" w:rsidP="009D480A"/>
    <w:p w14:paraId="4EFA0AC1" w14:textId="77777777" w:rsidR="003D41D5" w:rsidRDefault="003D41D5" w:rsidP="009D480A"/>
    <w:p w14:paraId="42AA2EE9" w14:textId="6D58A5BE" w:rsidR="00980FA5" w:rsidRDefault="00980FA5" w:rsidP="00980FA5">
      <w:pPr>
        <w:pStyle w:val="ListParagraph"/>
        <w:jc w:val="right"/>
        <w:rPr>
          <w:lang w:eastAsia="ru-RU"/>
        </w:rPr>
      </w:pPr>
      <w:r>
        <w:rPr>
          <w:rFonts w:asciiTheme="minorHAnsi" w:hAnsiTheme="minorHAnsi"/>
          <w:sz w:val="24"/>
        </w:rPr>
        <w:lastRenderedPageBreak/>
        <w:t>3</w:t>
      </w:r>
      <w:r w:rsidRPr="00980FA5">
        <w:rPr>
          <w:rFonts w:asciiTheme="minorHAnsi" w:hAnsiTheme="minorHAnsi"/>
          <w:sz w:val="24"/>
        </w:rPr>
        <w:t>.</w:t>
      </w:r>
      <w:r>
        <w:rPr>
          <w:rFonts w:asciiTheme="minorHAnsi" w:hAnsiTheme="minorHAnsi"/>
          <w:sz w:val="24"/>
        </w:rPr>
        <w:t xml:space="preserve"> tabula</w:t>
      </w:r>
      <w:r w:rsidRPr="00980FA5">
        <w:rPr>
          <w:rFonts w:asciiTheme="minorHAnsi" w:hAnsiTheme="minorHAnsi"/>
          <w:sz w:val="24"/>
        </w:rPr>
        <w:t xml:space="preserve">: </w:t>
      </w:r>
      <w:r w:rsidR="009D5A23">
        <w:rPr>
          <w:rFonts w:asciiTheme="minorHAnsi" w:hAnsiTheme="minorHAnsi"/>
          <w:sz w:val="24"/>
        </w:rPr>
        <w:t xml:space="preserve">Institucionāla finansējuma </w:t>
      </w:r>
      <w:proofErr w:type="spellStart"/>
      <w:r w:rsidR="009D5A23">
        <w:rPr>
          <w:rFonts w:asciiTheme="minorHAnsi" w:hAnsiTheme="minorHAnsi"/>
          <w:sz w:val="24"/>
        </w:rPr>
        <w:t>i</w:t>
      </w:r>
      <w:r>
        <w:rPr>
          <w:rFonts w:asciiTheme="minorHAnsi" w:hAnsiTheme="minorHAnsi"/>
          <w:sz w:val="24"/>
        </w:rPr>
        <w:t>zmēģinājumprojekta</w:t>
      </w:r>
      <w:proofErr w:type="spellEnd"/>
      <w:r>
        <w:rPr>
          <w:rFonts w:asciiTheme="minorHAnsi" w:hAnsiTheme="minorHAnsi"/>
          <w:sz w:val="24"/>
        </w:rPr>
        <w:t xml:space="preserve"> papildu kritēriji</w:t>
      </w:r>
    </w:p>
    <w:tbl>
      <w:tblPr>
        <w:tblStyle w:val="TableGrid"/>
        <w:tblW w:w="8905" w:type="dxa"/>
        <w:tblLook w:val="04A0" w:firstRow="1" w:lastRow="0" w:firstColumn="1" w:lastColumn="0" w:noHBand="0" w:noVBand="1"/>
      </w:tblPr>
      <w:tblGrid>
        <w:gridCol w:w="4452"/>
        <w:gridCol w:w="4453"/>
      </w:tblGrid>
      <w:tr w:rsidR="009D480A" w:rsidRPr="00F30234" w14:paraId="6C64022E" w14:textId="77777777" w:rsidTr="00AB29DB">
        <w:trPr>
          <w:tblHeader/>
        </w:trPr>
        <w:tc>
          <w:tcPr>
            <w:tcW w:w="4452" w:type="dxa"/>
            <w:shd w:val="clear" w:color="auto" w:fill="7030A0"/>
          </w:tcPr>
          <w:p w14:paraId="311406FB" w14:textId="3A1E66EF" w:rsidR="009D480A" w:rsidRPr="00F30234" w:rsidRDefault="00804A43" w:rsidP="00AB29DB">
            <w:pPr>
              <w:ind w:firstLine="0"/>
              <w:jc w:val="center"/>
              <w:rPr>
                <w:b/>
                <w:color w:val="FFFFFF" w:themeColor="background1"/>
              </w:rPr>
            </w:pPr>
            <w:r>
              <w:rPr>
                <w:b/>
                <w:color w:val="FFFFFF" w:themeColor="background1"/>
              </w:rPr>
              <w:t>Kritērijs</w:t>
            </w:r>
          </w:p>
          <w:p w14:paraId="685C8F5E" w14:textId="77777777" w:rsidR="009D480A" w:rsidRPr="00F30234" w:rsidRDefault="009D480A" w:rsidP="00AB29DB">
            <w:pPr>
              <w:ind w:firstLine="0"/>
              <w:jc w:val="center"/>
              <w:rPr>
                <w:b/>
                <w:color w:val="FFFFFF" w:themeColor="background1"/>
              </w:rPr>
            </w:pPr>
          </w:p>
        </w:tc>
        <w:tc>
          <w:tcPr>
            <w:tcW w:w="4453" w:type="dxa"/>
            <w:shd w:val="clear" w:color="auto" w:fill="7030A0"/>
          </w:tcPr>
          <w:p w14:paraId="41F4EE3A" w14:textId="77777777" w:rsidR="009D480A" w:rsidRPr="00F30234" w:rsidRDefault="009D480A" w:rsidP="00AB29DB">
            <w:pPr>
              <w:ind w:firstLine="0"/>
              <w:jc w:val="center"/>
              <w:rPr>
                <w:b/>
                <w:color w:val="FFFFFF" w:themeColor="background1"/>
              </w:rPr>
            </w:pPr>
            <w:r w:rsidRPr="00F30234">
              <w:rPr>
                <w:b/>
                <w:color w:val="FFFFFF" w:themeColor="background1"/>
              </w:rPr>
              <w:t>Augstskolas atbilstība</w:t>
            </w:r>
          </w:p>
        </w:tc>
      </w:tr>
      <w:tr w:rsidR="009D480A" w:rsidRPr="00CC4E59" w14:paraId="52895108" w14:textId="77777777" w:rsidTr="00AB29DB">
        <w:tc>
          <w:tcPr>
            <w:tcW w:w="8905" w:type="dxa"/>
            <w:gridSpan w:val="2"/>
            <w:tcBorders>
              <w:top w:val="single" w:sz="4" w:space="0" w:color="auto"/>
              <w:bottom w:val="single" w:sz="4" w:space="0" w:color="auto"/>
              <w:right w:val="single" w:sz="4" w:space="0" w:color="auto"/>
            </w:tcBorders>
            <w:vAlign w:val="center"/>
          </w:tcPr>
          <w:p w14:paraId="53B49A1E" w14:textId="77777777" w:rsidR="009D480A" w:rsidRPr="00CC4E59" w:rsidRDefault="009D480A" w:rsidP="00AB29DB">
            <w:pPr>
              <w:ind w:firstLine="0"/>
              <w:jc w:val="center"/>
              <w:rPr>
                <w:rFonts w:ascii="Calibri" w:hAnsi="Calibri"/>
                <w:color w:val="000000"/>
                <w:sz w:val="22"/>
                <w:szCs w:val="22"/>
              </w:rPr>
            </w:pPr>
            <w:r>
              <w:rPr>
                <w:rFonts w:ascii="Calibri" w:hAnsi="Calibri"/>
                <w:color w:val="000000"/>
                <w:sz w:val="22"/>
                <w:szCs w:val="22"/>
              </w:rPr>
              <w:t>Attīstīta pārvaldība</w:t>
            </w:r>
          </w:p>
        </w:tc>
      </w:tr>
      <w:tr w:rsidR="009D480A" w:rsidRPr="00CC4E59" w14:paraId="5A65E8DD" w14:textId="77777777" w:rsidTr="00AB29DB">
        <w:tc>
          <w:tcPr>
            <w:tcW w:w="4452" w:type="dxa"/>
            <w:tcBorders>
              <w:top w:val="single" w:sz="4" w:space="0" w:color="auto"/>
              <w:bottom w:val="single" w:sz="4" w:space="0" w:color="auto"/>
              <w:right w:val="single" w:sz="4" w:space="0" w:color="auto"/>
            </w:tcBorders>
            <w:vAlign w:val="center"/>
          </w:tcPr>
          <w:p w14:paraId="78F67B77" w14:textId="77777777" w:rsidR="009D480A" w:rsidRPr="008E4EB5" w:rsidRDefault="009D480A" w:rsidP="00AB29DB">
            <w:pPr>
              <w:ind w:firstLine="0"/>
              <w:jc w:val="center"/>
              <w:rPr>
                <w:rFonts w:ascii="MarkPro" w:hAnsi="MarkPro" w:cs="Arial"/>
                <w:color w:val="000000" w:themeColor="dark1"/>
                <w:kern w:val="24"/>
              </w:rPr>
            </w:pPr>
            <w:r w:rsidRPr="008E4EB5">
              <w:rPr>
                <w:rFonts w:ascii="MarkPro" w:hAnsi="MarkPro" w:cs="Arial"/>
                <w:color w:val="000000" w:themeColor="dark1"/>
                <w:kern w:val="24"/>
              </w:rPr>
              <w:t>Pārmaiņu ieviešanas plāns studiju</w:t>
            </w:r>
            <w:r>
              <w:rPr>
                <w:rFonts w:ascii="MarkPro" w:hAnsi="MarkPro" w:cs="Arial"/>
                <w:color w:val="000000" w:themeColor="dark1"/>
                <w:kern w:val="24"/>
              </w:rPr>
              <w:t xml:space="preserve"> programmu klāsta attīstībai </w:t>
            </w:r>
          </w:p>
          <w:p w14:paraId="22EB8316" w14:textId="77777777" w:rsidR="009D480A" w:rsidRPr="008E4EB5" w:rsidRDefault="009D480A" w:rsidP="00AB29DB">
            <w:pPr>
              <w:ind w:firstLine="0"/>
              <w:jc w:val="center"/>
              <w:rPr>
                <w:rFonts w:ascii="MarkPro" w:hAnsi="MarkPro" w:cs="Arial"/>
                <w:color w:val="000000" w:themeColor="dark1"/>
                <w:kern w:val="24"/>
              </w:rPr>
            </w:pPr>
          </w:p>
        </w:tc>
        <w:tc>
          <w:tcPr>
            <w:tcW w:w="4453" w:type="dxa"/>
            <w:tcBorders>
              <w:top w:val="single" w:sz="4" w:space="0" w:color="auto"/>
              <w:left w:val="single" w:sz="4" w:space="0" w:color="auto"/>
              <w:bottom w:val="single" w:sz="4" w:space="0" w:color="auto"/>
              <w:right w:val="single" w:sz="4" w:space="0" w:color="auto"/>
            </w:tcBorders>
            <w:shd w:val="clear" w:color="auto" w:fill="auto"/>
            <w:vAlign w:val="center"/>
          </w:tcPr>
          <w:p w14:paraId="4010AA66" w14:textId="77777777" w:rsidR="009D480A" w:rsidRPr="008E4EB5" w:rsidRDefault="009D480A" w:rsidP="00AB29DB">
            <w:pPr>
              <w:ind w:firstLine="0"/>
              <w:jc w:val="center"/>
              <w:rPr>
                <w:rFonts w:ascii="MarkPro" w:hAnsi="MarkPro" w:cs="Arial"/>
                <w:color w:val="000000" w:themeColor="dark1"/>
                <w:kern w:val="24"/>
              </w:rPr>
            </w:pPr>
            <w:r w:rsidRPr="008E4EB5">
              <w:rPr>
                <w:rFonts w:ascii="MarkPro" w:hAnsi="MarkPro" w:cs="Arial"/>
                <w:color w:val="000000" w:themeColor="dark1"/>
                <w:kern w:val="24"/>
              </w:rPr>
              <w:t xml:space="preserve">Izstrādāts plāns studiju programmu </w:t>
            </w:r>
            <w:r>
              <w:rPr>
                <w:rFonts w:ascii="MarkPro" w:hAnsi="MarkPro" w:cs="Arial"/>
                <w:color w:val="000000" w:themeColor="dark1"/>
                <w:kern w:val="24"/>
              </w:rPr>
              <w:t>klāsta attīstībai,</w:t>
            </w:r>
            <w:r w:rsidRPr="008E4EB5">
              <w:rPr>
                <w:rFonts w:ascii="MarkPro" w:hAnsi="MarkPro" w:cs="Arial"/>
                <w:color w:val="000000" w:themeColor="dark1"/>
                <w:kern w:val="24"/>
              </w:rPr>
              <w:t xml:space="preserve"> nodrošinot līdzekļu efektīvāku izmantošanu.</w:t>
            </w:r>
          </w:p>
        </w:tc>
      </w:tr>
      <w:tr w:rsidR="009D480A" w:rsidRPr="00CC4E59" w14:paraId="488936D2" w14:textId="77777777" w:rsidTr="00AB29DB">
        <w:tc>
          <w:tcPr>
            <w:tcW w:w="4452" w:type="dxa"/>
            <w:tcBorders>
              <w:top w:val="single" w:sz="4" w:space="0" w:color="auto"/>
              <w:bottom w:val="single" w:sz="4" w:space="0" w:color="auto"/>
              <w:right w:val="single" w:sz="4" w:space="0" w:color="auto"/>
            </w:tcBorders>
            <w:vAlign w:val="center"/>
          </w:tcPr>
          <w:p w14:paraId="12A35003" w14:textId="77777777" w:rsidR="009D480A" w:rsidRPr="00CC4E59" w:rsidRDefault="009D480A" w:rsidP="00AB29DB">
            <w:pPr>
              <w:ind w:firstLine="0"/>
              <w:jc w:val="center"/>
            </w:pPr>
            <w:r>
              <w:rPr>
                <w:rFonts w:ascii="MarkPro" w:hAnsi="MarkPro" w:cs="Arial"/>
                <w:color w:val="000000" w:themeColor="dark1"/>
                <w:kern w:val="24"/>
              </w:rPr>
              <w:t>Izvērtēta pārvaldības sistēma ar ārēju novērtējumu</w:t>
            </w:r>
          </w:p>
        </w:tc>
        <w:tc>
          <w:tcPr>
            <w:tcW w:w="4453" w:type="dxa"/>
            <w:tcBorders>
              <w:top w:val="single" w:sz="4" w:space="0" w:color="auto"/>
              <w:left w:val="single" w:sz="4" w:space="0" w:color="auto"/>
              <w:bottom w:val="single" w:sz="4" w:space="0" w:color="auto"/>
              <w:right w:val="single" w:sz="4" w:space="0" w:color="auto"/>
            </w:tcBorders>
            <w:shd w:val="clear" w:color="auto" w:fill="auto"/>
            <w:vAlign w:val="center"/>
          </w:tcPr>
          <w:p w14:paraId="1E4141E2" w14:textId="77777777" w:rsidR="009D480A" w:rsidRPr="00CC4E59" w:rsidRDefault="009D480A" w:rsidP="00AB29DB">
            <w:pPr>
              <w:ind w:firstLine="0"/>
              <w:jc w:val="center"/>
              <w:rPr>
                <w:rFonts w:ascii="Calibri" w:hAnsi="Calibri"/>
                <w:color w:val="000000"/>
                <w:sz w:val="22"/>
                <w:szCs w:val="22"/>
              </w:rPr>
            </w:pPr>
            <w:r>
              <w:rPr>
                <w:rFonts w:ascii="MarkPro" w:hAnsi="MarkPro" w:cs="Arial"/>
                <w:color w:val="000000" w:themeColor="dark1"/>
                <w:kern w:val="24"/>
              </w:rPr>
              <w:t>Ieviesta pārvaldības sistēma ar skaidriem padomes, rektora un fakultāšu dekānu atbildības jomām, kompetencēm un pienākumiem, saņemts ārējais vērtējums, ISO 9001:2015, EFQM kvalitātes vadības sistēma vai līdzvērtīgi</w:t>
            </w:r>
          </w:p>
        </w:tc>
      </w:tr>
      <w:tr w:rsidR="009D480A" w:rsidRPr="00CC4E59" w14:paraId="2C053ACC" w14:textId="77777777" w:rsidTr="00AB29DB">
        <w:tc>
          <w:tcPr>
            <w:tcW w:w="4452" w:type="dxa"/>
            <w:tcBorders>
              <w:top w:val="single" w:sz="4" w:space="0" w:color="auto"/>
              <w:bottom w:val="single" w:sz="4" w:space="0" w:color="auto"/>
              <w:right w:val="single" w:sz="4" w:space="0" w:color="auto"/>
            </w:tcBorders>
            <w:vAlign w:val="center"/>
          </w:tcPr>
          <w:p w14:paraId="5308E736" w14:textId="77777777" w:rsidR="009D480A" w:rsidRPr="00CC4E59" w:rsidRDefault="009D480A" w:rsidP="00AB29DB">
            <w:pPr>
              <w:ind w:firstLine="0"/>
              <w:jc w:val="center"/>
            </w:pPr>
            <w:r>
              <w:rPr>
                <w:rFonts w:ascii="MarkPro" w:hAnsi="MarkPro" w:cs="Arial"/>
                <w:color w:val="000000" w:themeColor="dark1"/>
                <w:kern w:val="24"/>
              </w:rPr>
              <w:t>Stratēģiskā pārvaldība</w:t>
            </w:r>
          </w:p>
        </w:tc>
        <w:tc>
          <w:tcPr>
            <w:tcW w:w="4453" w:type="dxa"/>
            <w:tcBorders>
              <w:top w:val="single" w:sz="4" w:space="0" w:color="auto"/>
              <w:left w:val="single" w:sz="4" w:space="0" w:color="auto"/>
              <w:bottom w:val="single" w:sz="4" w:space="0" w:color="auto"/>
              <w:right w:val="single" w:sz="4" w:space="0" w:color="auto"/>
            </w:tcBorders>
            <w:shd w:val="clear" w:color="auto" w:fill="auto"/>
            <w:vAlign w:val="center"/>
          </w:tcPr>
          <w:p w14:paraId="179AE30D" w14:textId="77777777" w:rsidR="009D480A" w:rsidRPr="00CC4E59" w:rsidRDefault="009D480A" w:rsidP="00AB29DB">
            <w:pPr>
              <w:ind w:firstLine="0"/>
              <w:jc w:val="center"/>
              <w:rPr>
                <w:rFonts w:ascii="Calibri" w:hAnsi="Calibri"/>
                <w:color w:val="000000"/>
                <w:sz w:val="22"/>
                <w:szCs w:val="22"/>
              </w:rPr>
            </w:pPr>
            <w:r>
              <w:rPr>
                <w:rFonts w:ascii="MarkPro" w:hAnsi="MarkPro" w:cs="Arial"/>
                <w:color w:val="000000" w:themeColor="dark1"/>
                <w:kern w:val="24"/>
              </w:rPr>
              <w:t>Izveidota stratēģisko rādītāju kontroles sistēma, nodrošinot datu kaskādi un monitoringu</w:t>
            </w:r>
          </w:p>
        </w:tc>
      </w:tr>
      <w:tr w:rsidR="009D480A" w:rsidRPr="00CC4E59" w14:paraId="3CDF65B1" w14:textId="77777777" w:rsidTr="00AB29DB">
        <w:tc>
          <w:tcPr>
            <w:tcW w:w="4452" w:type="dxa"/>
            <w:tcBorders>
              <w:top w:val="single" w:sz="4" w:space="0" w:color="auto"/>
              <w:bottom w:val="single" w:sz="4" w:space="0" w:color="auto"/>
              <w:right w:val="single" w:sz="4" w:space="0" w:color="auto"/>
            </w:tcBorders>
            <w:vAlign w:val="center"/>
          </w:tcPr>
          <w:p w14:paraId="5FAD6C1D" w14:textId="77777777" w:rsidR="009D480A" w:rsidRPr="008E4EB5" w:rsidRDefault="009D480A" w:rsidP="00AB29DB">
            <w:pPr>
              <w:ind w:firstLine="0"/>
              <w:jc w:val="center"/>
            </w:pPr>
            <w:r w:rsidRPr="008E4EB5">
              <w:rPr>
                <w:rFonts w:ascii="MarkPro" w:hAnsi="MarkPro" w:cs="Arial"/>
                <w:kern w:val="24"/>
              </w:rPr>
              <w:t>Iekšējās pārvaldības politikas</w:t>
            </w:r>
          </w:p>
        </w:tc>
        <w:tc>
          <w:tcPr>
            <w:tcW w:w="4453" w:type="dxa"/>
            <w:tcBorders>
              <w:top w:val="single" w:sz="4" w:space="0" w:color="auto"/>
              <w:left w:val="single" w:sz="4" w:space="0" w:color="auto"/>
              <w:bottom w:val="single" w:sz="4" w:space="0" w:color="auto"/>
              <w:right w:val="single" w:sz="4" w:space="0" w:color="auto"/>
            </w:tcBorders>
            <w:shd w:val="clear" w:color="auto" w:fill="auto"/>
            <w:vAlign w:val="center"/>
          </w:tcPr>
          <w:p w14:paraId="1B1983BB" w14:textId="77777777" w:rsidR="009D480A" w:rsidRPr="008E4EB5" w:rsidRDefault="009D480A" w:rsidP="00AB29DB">
            <w:pPr>
              <w:ind w:firstLine="0"/>
              <w:jc w:val="center"/>
              <w:rPr>
                <w:rFonts w:ascii="Calibri" w:hAnsi="Calibri"/>
                <w:sz w:val="22"/>
                <w:szCs w:val="22"/>
              </w:rPr>
            </w:pPr>
            <w:r w:rsidRPr="008E4EB5">
              <w:rPr>
                <w:rFonts w:ascii="MarkPro" w:hAnsi="MarkPro" w:cs="Arial"/>
                <w:kern w:val="24"/>
              </w:rPr>
              <w:t>Augstskolas padome apstiprinājusi iekšējās pārvaldības politikas, kas nodrošina universitātes darbības caurredzamību un atbilstību labās prakses piemēriem</w:t>
            </w:r>
          </w:p>
        </w:tc>
      </w:tr>
      <w:tr w:rsidR="009D480A" w:rsidRPr="00CC4E59" w14:paraId="60FCAD43" w14:textId="77777777" w:rsidTr="00AB29DB">
        <w:tc>
          <w:tcPr>
            <w:tcW w:w="8905" w:type="dxa"/>
            <w:gridSpan w:val="2"/>
            <w:tcBorders>
              <w:top w:val="single" w:sz="4" w:space="0" w:color="auto"/>
              <w:bottom w:val="single" w:sz="4" w:space="0" w:color="auto"/>
              <w:right w:val="single" w:sz="4" w:space="0" w:color="auto"/>
            </w:tcBorders>
            <w:vAlign w:val="center"/>
          </w:tcPr>
          <w:p w14:paraId="614CF916" w14:textId="77777777" w:rsidR="009D480A" w:rsidRPr="00CC4E59" w:rsidRDefault="009D480A" w:rsidP="00AB29DB">
            <w:pPr>
              <w:ind w:firstLine="0"/>
              <w:jc w:val="center"/>
              <w:rPr>
                <w:rFonts w:ascii="Calibri" w:hAnsi="Calibri"/>
                <w:color w:val="000000"/>
                <w:sz w:val="22"/>
                <w:szCs w:val="22"/>
              </w:rPr>
            </w:pPr>
            <w:r>
              <w:rPr>
                <w:rFonts w:ascii="Calibri" w:hAnsi="Calibri"/>
                <w:color w:val="000000"/>
                <w:sz w:val="22"/>
                <w:szCs w:val="22"/>
              </w:rPr>
              <w:t>Finanšu sistēma</w:t>
            </w:r>
          </w:p>
        </w:tc>
      </w:tr>
      <w:tr w:rsidR="009D480A" w:rsidRPr="00CC4E59" w14:paraId="58F6BBA4" w14:textId="77777777" w:rsidTr="00AB29DB">
        <w:tc>
          <w:tcPr>
            <w:tcW w:w="4452" w:type="dxa"/>
            <w:tcBorders>
              <w:top w:val="single" w:sz="4" w:space="0" w:color="auto"/>
              <w:bottom w:val="single" w:sz="4" w:space="0" w:color="auto"/>
              <w:right w:val="single" w:sz="4" w:space="0" w:color="auto"/>
            </w:tcBorders>
            <w:vAlign w:val="center"/>
          </w:tcPr>
          <w:p w14:paraId="588FCF3C" w14:textId="77777777" w:rsidR="009D480A" w:rsidRPr="001D6F62" w:rsidRDefault="009D480A" w:rsidP="00AB29DB">
            <w:pPr>
              <w:ind w:firstLine="0"/>
              <w:jc w:val="center"/>
            </w:pPr>
            <w:r>
              <w:t>Labi attīstīta b</w:t>
            </w:r>
            <w:r w:rsidRPr="001D6F62">
              <w:t>udžetēšana</w:t>
            </w:r>
            <w:r>
              <w:t>s sistēma</w:t>
            </w:r>
          </w:p>
        </w:tc>
        <w:tc>
          <w:tcPr>
            <w:tcW w:w="4453" w:type="dxa"/>
            <w:tcBorders>
              <w:top w:val="single" w:sz="4" w:space="0" w:color="auto"/>
              <w:left w:val="single" w:sz="4" w:space="0" w:color="auto"/>
              <w:bottom w:val="single" w:sz="4" w:space="0" w:color="auto"/>
              <w:right w:val="single" w:sz="4" w:space="0" w:color="auto"/>
            </w:tcBorders>
            <w:shd w:val="clear" w:color="auto" w:fill="auto"/>
            <w:vAlign w:val="center"/>
          </w:tcPr>
          <w:p w14:paraId="200E2038" w14:textId="0B108471" w:rsidR="009D480A" w:rsidRPr="001D6F62" w:rsidRDefault="009D480A" w:rsidP="00AB29DB">
            <w:pPr>
              <w:ind w:firstLine="0"/>
              <w:jc w:val="center"/>
            </w:pPr>
            <w:r w:rsidRPr="001D6F62">
              <w:t xml:space="preserve">Ieviesta iekšējā budžetēšanas sistēma, kas nodrošina konkrētu </w:t>
            </w:r>
            <w:r w:rsidR="003820D7">
              <w:t>sasniedzamo rezultātu</w:t>
            </w:r>
            <w:r w:rsidRPr="001D6F62">
              <w:t xml:space="preserve"> noteikšanu visām universitātes struktūrvienībām un rezultātu finansēšanu</w:t>
            </w:r>
          </w:p>
        </w:tc>
      </w:tr>
      <w:tr w:rsidR="009D480A" w:rsidRPr="00CC4E59" w14:paraId="2E81E3B5" w14:textId="77777777" w:rsidTr="00AB29DB">
        <w:tc>
          <w:tcPr>
            <w:tcW w:w="4452" w:type="dxa"/>
            <w:tcBorders>
              <w:top w:val="single" w:sz="4" w:space="0" w:color="auto"/>
              <w:bottom w:val="single" w:sz="4" w:space="0" w:color="auto"/>
              <w:right w:val="single" w:sz="4" w:space="0" w:color="auto"/>
            </w:tcBorders>
            <w:vAlign w:val="center"/>
          </w:tcPr>
          <w:p w14:paraId="6B00C6F6" w14:textId="77777777" w:rsidR="009D480A" w:rsidRPr="001D6F62" w:rsidRDefault="009D480A" w:rsidP="00AB29DB">
            <w:pPr>
              <w:ind w:firstLine="0"/>
              <w:jc w:val="center"/>
            </w:pPr>
            <w:r w:rsidRPr="001D6F62">
              <w:t>Ieviesta vienota darba samaksā kārtība</w:t>
            </w:r>
          </w:p>
        </w:tc>
        <w:tc>
          <w:tcPr>
            <w:tcW w:w="4453" w:type="dxa"/>
            <w:tcBorders>
              <w:top w:val="single" w:sz="4" w:space="0" w:color="auto"/>
              <w:left w:val="single" w:sz="4" w:space="0" w:color="auto"/>
              <w:bottom w:val="single" w:sz="4" w:space="0" w:color="auto"/>
              <w:right w:val="single" w:sz="4" w:space="0" w:color="auto"/>
            </w:tcBorders>
            <w:shd w:val="clear" w:color="auto" w:fill="auto"/>
            <w:vAlign w:val="center"/>
          </w:tcPr>
          <w:p w14:paraId="17DDAEA6" w14:textId="77777777" w:rsidR="009D480A" w:rsidRPr="001D6F62" w:rsidRDefault="009D480A" w:rsidP="00AB29DB">
            <w:pPr>
              <w:ind w:firstLine="0"/>
              <w:jc w:val="center"/>
            </w:pPr>
            <w:r w:rsidRPr="001D6F62">
              <w:t>Ieviesta vienota darba samaksas kārtība, amatu katalogs</w:t>
            </w:r>
          </w:p>
        </w:tc>
      </w:tr>
      <w:tr w:rsidR="009D480A" w:rsidRPr="00CC4E59" w14:paraId="2B17C113" w14:textId="77777777" w:rsidTr="00AB29DB">
        <w:tc>
          <w:tcPr>
            <w:tcW w:w="8905" w:type="dxa"/>
            <w:gridSpan w:val="2"/>
            <w:tcBorders>
              <w:top w:val="single" w:sz="4" w:space="0" w:color="auto"/>
              <w:bottom w:val="single" w:sz="4" w:space="0" w:color="auto"/>
              <w:right w:val="single" w:sz="4" w:space="0" w:color="auto"/>
            </w:tcBorders>
            <w:vAlign w:val="center"/>
          </w:tcPr>
          <w:p w14:paraId="48096295" w14:textId="77777777" w:rsidR="009D480A" w:rsidRPr="00CC4E59" w:rsidRDefault="009D480A" w:rsidP="00AB29DB">
            <w:pPr>
              <w:ind w:firstLine="0"/>
              <w:jc w:val="center"/>
              <w:rPr>
                <w:rFonts w:ascii="Calibri" w:hAnsi="Calibri"/>
                <w:color w:val="000000"/>
                <w:sz w:val="22"/>
                <w:szCs w:val="22"/>
              </w:rPr>
            </w:pPr>
            <w:r>
              <w:rPr>
                <w:rFonts w:ascii="Calibri" w:hAnsi="Calibri"/>
                <w:color w:val="000000"/>
                <w:sz w:val="22"/>
                <w:szCs w:val="22"/>
              </w:rPr>
              <w:t>Kvalitātes nodrošināšana</w:t>
            </w:r>
          </w:p>
        </w:tc>
      </w:tr>
      <w:tr w:rsidR="009D480A" w:rsidRPr="00CC4E59" w14:paraId="03D910CB" w14:textId="77777777" w:rsidTr="00AB29DB">
        <w:tc>
          <w:tcPr>
            <w:tcW w:w="4452" w:type="dxa"/>
            <w:tcBorders>
              <w:top w:val="single" w:sz="4" w:space="0" w:color="auto"/>
              <w:bottom w:val="single" w:sz="4" w:space="0" w:color="auto"/>
              <w:right w:val="single" w:sz="4" w:space="0" w:color="auto"/>
            </w:tcBorders>
            <w:vAlign w:val="center"/>
          </w:tcPr>
          <w:p w14:paraId="4956D2AA" w14:textId="77777777" w:rsidR="009D480A" w:rsidRPr="00892C31" w:rsidRDefault="009D480A" w:rsidP="00AB29DB">
            <w:pPr>
              <w:ind w:firstLine="0"/>
              <w:jc w:val="center"/>
              <w:rPr>
                <w:rFonts w:ascii="MarkPro" w:hAnsi="MarkPro" w:cs="Arial"/>
                <w:kern w:val="24"/>
              </w:rPr>
            </w:pPr>
            <w:r w:rsidRPr="00D60FC8">
              <w:rPr>
                <w:rFonts w:ascii="MarkPro" w:hAnsi="MarkPro" w:cs="Arial"/>
                <w:kern w:val="24"/>
              </w:rPr>
              <w:t>Akadēmiskā personāla vērtēšana</w:t>
            </w:r>
          </w:p>
        </w:tc>
        <w:tc>
          <w:tcPr>
            <w:tcW w:w="4453" w:type="dxa"/>
            <w:tcBorders>
              <w:top w:val="single" w:sz="4" w:space="0" w:color="auto"/>
              <w:left w:val="single" w:sz="4" w:space="0" w:color="auto"/>
              <w:bottom w:val="single" w:sz="4" w:space="0" w:color="auto"/>
              <w:right w:val="single" w:sz="4" w:space="0" w:color="auto"/>
            </w:tcBorders>
            <w:shd w:val="clear" w:color="auto" w:fill="auto"/>
            <w:vAlign w:val="center"/>
          </w:tcPr>
          <w:p w14:paraId="22DC98A7" w14:textId="77777777" w:rsidR="009D480A" w:rsidRPr="00892C31" w:rsidRDefault="009D480A" w:rsidP="00AB29DB">
            <w:pPr>
              <w:ind w:firstLine="0"/>
              <w:jc w:val="center"/>
              <w:rPr>
                <w:rFonts w:ascii="MarkPro" w:hAnsi="MarkPro" w:cs="Arial"/>
                <w:kern w:val="24"/>
              </w:rPr>
            </w:pPr>
            <w:r w:rsidRPr="00892C31">
              <w:rPr>
                <w:rFonts w:ascii="MarkPro" w:hAnsi="MarkPro" w:cs="Arial"/>
                <w:kern w:val="24"/>
              </w:rPr>
              <w:t xml:space="preserve">Notiek regulāra akadēmiskā personāla novērtēšana, </w:t>
            </w:r>
            <w:r>
              <w:rPr>
                <w:rFonts w:ascii="MarkPro" w:hAnsi="MarkPro" w:cs="Arial"/>
                <w:kern w:val="24"/>
              </w:rPr>
              <w:t xml:space="preserve">zinātnes universitātei ieviesta </w:t>
            </w:r>
            <w:proofErr w:type="spellStart"/>
            <w:r>
              <w:rPr>
                <w:rFonts w:ascii="MarkPro" w:hAnsi="MarkPro" w:cs="Arial"/>
                <w:kern w:val="24"/>
              </w:rPr>
              <w:t>tenūra</w:t>
            </w:r>
            <w:proofErr w:type="spellEnd"/>
          </w:p>
        </w:tc>
      </w:tr>
      <w:tr w:rsidR="009D480A" w:rsidRPr="00CC4E59" w14:paraId="7C020140" w14:textId="77777777" w:rsidTr="00AB29DB">
        <w:tc>
          <w:tcPr>
            <w:tcW w:w="4452" w:type="dxa"/>
            <w:tcBorders>
              <w:top w:val="single" w:sz="4" w:space="0" w:color="auto"/>
              <w:bottom w:val="single" w:sz="4" w:space="0" w:color="auto"/>
              <w:right w:val="single" w:sz="4" w:space="0" w:color="auto"/>
            </w:tcBorders>
            <w:vAlign w:val="center"/>
          </w:tcPr>
          <w:p w14:paraId="3965F238" w14:textId="77777777" w:rsidR="009D480A" w:rsidRPr="00892C31" w:rsidRDefault="009D480A" w:rsidP="00AB29DB">
            <w:pPr>
              <w:ind w:firstLine="0"/>
              <w:jc w:val="center"/>
              <w:rPr>
                <w:rFonts w:ascii="MarkPro" w:hAnsi="MarkPro" w:cs="Arial"/>
                <w:kern w:val="24"/>
              </w:rPr>
            </w:pPr>
            <w:r w:rsidRPr="00D60FC8">
              <w:rPr>
                <w:rFonts w:ascii="MarkPro" w:hAnsi="MarkPro" w:cs="Arial"/>
                <w:kern w:val="24"/>
              </w:rPr>
              <w:t>Augsts novērtējums zinātnisko institūciju izvērtēšanā</w:t>
            </w:r>
          </w:p>
        </w:tc>
        <w:tc>
          <w:tcPr>
            <w:tcW w:w="4453" w:type="dxa"/>
            <w:tcBorders>
              <w:top w:val="single" w:sz="4" w:space="0" w:color="auto"/>
              <w:left w:val="single" w:sz="4" w:space="0" w:color="auto"/>
              <w:bottom w:val="single" w:sz="4" w:space="0" w:color="auto"/>
              <w:right w:val="single" w:sz="4" w:space="0" w:color="auto"/>
            </w:tcBorders>
            <w:shd w:val="clear" w:color="auto" w:fill="auto"/>
            <w:vAlign w:val="center"/>
          </w:tcPr>
          <w:p w14:paraId="170A2A35" w14:textId="246CB582" w:rsidR="009D480A" w:rsidRPr="00892C31" w:rsidRDefault="003C0E62" w:rsidP="00AB29DB">
            <w:pPr>
              <w:ind w:firstLine="0"/>
              <w:jc w:val="center"/>
              <w:rPr>
                <w:rFonts w:ascii="MarkPro" w:hAnsi="MarkPro" w:cs="Arial"/>
                <w:kern w:val="24"/>
              </w:rPr>
            </w:pPr>
            <w:bookmarkStart w:id="27" w:name="_Hlk151289500"/>
            <w:r>
              <w:rPr>
                <w:rFonts w:ascii="MarkPro" w:hAnsi="MarkPro" w:cs="Arial"/>
                <w:kern w:val="24"/>
              </w:rPr>
              <w:t>Vidējais</w:t>
            </w:r>
            <w:r w:rsidR="009D480A" w:rsidRPr="00892C31">
              <w:rPr>
                <w:rFonts w:ascii="MarkPro" w:hAnsi="MarkPro" w:cs="Arial"/>
                <w:kern w:val="24"/>
              </w:rPr>
              <w:t xml:space="preserve"> vērtējums</w:t>
            </w:r>
            <w:r w:rsidR="00CB1050">
              <w:rPr>
                <w:rFonts w:ascii="MarkPro" w:hAnsi="MarkPro" w:cs="Arial"/>
                <w:kern w:val="24"/>
              </w:rPr>
              <w:t xml:space="preserve"> pēdējā pieejamajā</w:t>
            </w:r>
            <w:r w:rsidR="009D480A" w:rsidRPr="00892C31">
              <w:rPr>
                <w:rFonts w:ascii="MarkPro" w:hAnsi="MarkPro" w:cs="Arial"/>
                <w:kern w:val="24"/>
              </w:rPr>
              <w:t xml:space="preserve"> starptautiskajā zinātnisko institūciju izvērtējumā</w:t>
            </w:r>
            <w:bookmarkEnd w:id="27"/>
          </w:p>
        </w:tc>
      </w:tr>
      <w:tr w:rsidR="009D480A" w:rsidRPr="00CC4E59" w14:paraId="3E20BD1B" w14:textId="77777777" w:rsidTr="00AB29DB">
        <w:tc>
          <w:tcPr>
            <w:tcW w:w="4452" w:type="dxa"/>
            <w:tcBorders>
              <w:top w:val="single" w:sz="4" w:space="0" w:color="auto"/>
              <w:bottom w:val="single" w:sz="4" w:space="0" w:color="auto"/>
              <w:right w:val="single" w:sz="4" w:space="0" w:color="auto"/>
            </w:tcBorders>
            <w:vAlign w:val="center"/>
          </w:tcPr>
          <w:p w14:paraId="73F6F7D2" w14:textId="77777777" w:rsidR="009D480A" w:rsidRPr="00892C31" w:rsidRDefault="009D480A" w:rsidP="00AB29DB">
            <w:pPr>
              <w:ind w:firstLine="0"/>
              <w:jc w:val="center"/>
              <w:rPr>
                <w:rFonts w:ascii="MarkPro" w:hAnsi="MarkPro" w:cs="Arial"/>
                <w:kern w:val="24"/>
              </w:rPr>
            </w:pPr>
            <w:r w:rsidRPr="00D60FC8">
              <w:rPr>
                <w:rFonts w:ascii="MarkPro" w:hAnsi="MarkPro" w:cs="Arial"/>
                <w:kern w:val="24"/>
              </w:rPr>
              <w:t>Atbilstība klasifikācijai starptautiskajos reitingos</w:t>
            </w:r>
          </w:p>
        </w:tc>
        <w:tc>
          <w:tcPr>
            <w:tcW w:w="4453" w:type="dxa"/>
            <w:tcBorders>
              <w:top w:val="single" w:sz="4" w:space="0" w:color="auto"/>
              <w:left w:val="single" w:sz="4" w:space="0" w:color="auto"/>
              <w:bottom w:val="single" w:sz="4" w:space="0" w:color="auto"/>
              <w:right w:val="single" w:sz="4" w:space="0" w:color="auto"/>
            </w:tcBorders>
            <w:shd w:val="clear" w:color="auto" w:fill="auto"/>
            <w:vAlign w:val="center"/>
          </w:tcPr>
          <w:p w14:paraId="648E31FE" w14:textId="77777777" w:rsidR="009D480A" w:rsidRPr="00892C31" w:rsidRDefault="009D480A" w:rsidP="00AB29DB">
            <w:pPr>
              <w:ind w:firstLine="0"/>
              <w:jc w:val="center"/>
              <w:rPr>
                <w:rFonts w:ascii="MarkPro" w:hAnsi="MarkPro" w:cs="Arial"/>
                <w:kern w:val="24"/>
              </w:rPr>
            </w:pPr>
            <w:r w:rsidRPr="00D60FC8">
              <w:rPr>
                <w:rFonts w:ascii="MarkPro" w:hAnsi="MarkPro" w:cs="Arial"/>
                <w:kern w:val="24"/>
              </w:rPr>
              <w:t>Augstskolas darbības rezultāti nodrošina kvalificēšanos starptautiskajiem reitingiem (QS</w:t>
            </w:r>
            <w:r>
              <w:rPr>
                <w:rFonts w:ascii="MarkPro" w:hAnsi="MarkPro" w:cs="Arial"/>
                <w:kern w:val="24"/>
              </w:rPr>
              <w:t xml:space="preserve"> </w:t>
            </w:r>
            <w:r w:rsidRPr="00D60FC8">
              <w:rPr>
                <w:rFonts w:ascii="MarkPro" w:hAnsi="MarkPro" w:cs="Arial"/>
                <w:kern w:val="24"/>
              </w:rPr>
              <w:t xml:space="preserve">vai </w:t>
            </w:r>
            <w:proofErr w:type="spellStart"/>
            <w:r w:rsidRPr="00D60FC8">
              <w:rPr>
                <w:rFonts w:ascii="MarkPro" w:hAnsi="MarkPro" w:cs="Arial"/>
                <w:kern w:val="24"/>
              </w:rPr>
              <w:t>Times</w:t>
            </w:r>
            <w:proofErr w:type="spellEnd"/>
            <w:r w:rsidRPr="00D60FC8">
              <w:rPr>
                <w:rFonts w:ascii="MarkPro" w:hAnsi="MarkPro" w:cs="Arial"/>
                <w:kern w:val="24"/>
              </w:rPr>
              <w:t xml:space="preserve"> </w:t>
            </w:r>
            <w:proofErr w:type="spellStart"/>
            <w:r w:rsidRPr="00D60FC8">
              <w:rPr>
                <w:rFonts w:ascii="MarkPro" w:hAnsi="MarkPro" w:cs="Arial"/>
                <w:kern w:val="24"/>
              </w:rPr>
              <w:t>Higher</w:t>
            </w:r>
            <w:proofErr w:type="spellEnd"/>
            <w:r w:rsidRPr="00D60FC8">
              <w:rPr>
                <w:rFonts w:ascii="MarkPro" w:hAnsi="MarkPro" w:cs="Arial"/>
                <w:kern w:val="24"/>
              </w:rPr>
              <w:t xml:space="preserve"> </w:t>
            </w:r>
            <w:proofErr w:type="spellStart"/>
            <w:r w:rsidRPr="00D60FC8">
              <w:rPr>
                <w:rFonts w:ascii="MarkPro" w:hAnsi="MarkPro" w:cs="Arial"/>
                <w:kern w:val="24"/>
              </w:rPr>
              <w:t>Education</w:t>
            </w:r>
            <w:proofErr w:type="spellEnd"/>
            <w:r w:rsidRPr="00D60FC8">
              <w:rPr>
                <w:rFonts w:ascii="MarkPro" w:hAnsi="MarkPro" w:cs="Arial"/>
                <w:kern w:val="24"/>
              </w:rPr>
              <w:t xml:space="preserve"> </w:t>
            </w:r>
            <w:proofErr w:type="spellStart"/>
            <w:r w:rsidRPr="00D60FC8">
              <w:rPr>
                <w:rFonts w:ascii="MarkPro" w:hAnsi="MarkPro" w:cs="Arial"/>
                <w:kern w:val="24"/>
              </w:rPr>
              <w:t>Ra</w:t>
            </w:r>
            <w:r>
              <w:rPr>
                <w:rFonts w:ascii="MarkPro" w:hAnsi="MarkPro" w:cs="Arial"/>
                <w:kern w:val="24"/>
              </w:rPr>
              <w:t>kings</w:t>
            </w:r>
            <w:proofErr w:type="spellEnd"/>
            <w:r>
              <w:rPr>
                <w:rFonts w:ascii="MarkPro" w:hAnsi="MarkPro" w:cs="Arial"/>
                <w:kern w:val="24"/>
              </w:rPr>
              <w:t xml:space="preserve"> vai </w:t>
            </w:r>
            <w:proofErr w:type="spellStart"/>
            <w:r>
              <w:rPr>
                <w:rFonts w:ascii="MarkPro" w:hAnsi="MarkPro" w:cs="Arial"/>
                <w:kern w:val="24"/>
              </w:rPr>
              <w:t>Academic</w:t>
            </w:r>
            <w:proofErr w:type="spellEnd"/>
            <w:r>
              <w:rPr>
                <w:rFonts w:ascii="MarkPro" w:hAnsi="MarkPro" w:cs="Arial"/>
                <w:kern w:val="24"/>
              </w:rPr>
              <w:t xml:space="preserve"> </w:t>
            </w:r>
            <w:proofErr w:type="spellStart"/>
            <w:r>
              <w:rPr>
                <w:rFonts w:ascii="MarkPro" w:hAnsi="MarkPro" w:cs="Arial"/>
                <w:kern w:val="24"/>
              </w:rPr>
              <w:t>Rankings</w:t>
            </w:r>
            <w:proofErr w:type="spellEnd"/>
            <w:r>
              <w:rPr>
                <w:rFonts w:ascii="MarkPro" w:hAnsi="MarkPro" w:cs="Arial"/>
                <w:kern w:val="24"/>
              </w:rPr>
              <w:t xml:space="preserve"> </w:t>
            </w:r>
            <w:proofErr w:type="spellStart"/>
            <w:r>
              <w:rPr>
                <w:rFonts w:ascii="MarkPro" w:hAnsi="MarkPro" w:cs="Arial"/>
                <w:kern w:val="24"/>
              </w:rPr>
              <w:t>of</w:t>
            </w:r>
            <w:proofErr w:type="spellEnd"/>
            <w:r>
              <w:rPr>
                <w:rFonts w:ascii="MarkPro" w:hAnsi="MarkPro" w:cs="Arial"/>
                <w:kern w:val="24"/>
              </w:rPr>
              <w:t xml:space="preserve"> </w:t>
            </w:r>
            <w:proofErr w:type="spellStart"/>
            <w:r>
              <w:rPr>
                <w:rFonts w:ascii="MarkPro" w:hAnsi="MarkPro" w:cs="Arial"/>
                <w:kern w:val="24"/>
              </w:rPr>
              <w:t>World</w:t>
            </w:r>
            <w:proofErr w:type="spellEnd"/>
            <w:r>
              <w:rPr>
                <w:rFonts w:ascii="MarkPro" w:hAnsi="MarkPro" w:cs="Arial"/>
                <w:kern w:val="24"/>
              </w:rPr>
              <w:t xml:space="preserve"> </w:t>
            </w:r>
            <w:proofErr w:type="spellStart"/>
            <w:r>
              <w:rPr>
                <w:rFonts w:ascii="MarkPro" w:hAnsi="MarkPro" w:cs="Arial"/>
                <w:kern w:val="24"/>
              </w:rPr>
              <w:t>Universities</w:t>
            </w:r>
            <w:proofErr w:type="spellEnd"/>
            <w:r w:rsidRPr="00D60FC8">
              <w:rPr>
                <w:rFonts w:ascii="MarkPro" w:hAnsi="MarkPro" w:cs="Arial"/>
                <w:kern w:val="24"/>
              </w:rPr>
              <w:t>)</w:t>
            </w:r>
            <w:r>
              <w:rPr>
                <w:rFonts w:ascii="MarkPro" w:hAnsi="MarkPro" w:cs="Arial"/>
                <w:kern w:val="24"/>
              </w:rPr>
              <w:t xml:space="preserve"> </w:t>
            </w:r>
          </w:p>
        </w:tc>
      </w:tr>
      <w:tr w:rsidR="009D480A" w:rsidRPr="00CC4E59" w14:paraId="6C9F8763" w14:textId="77777777" w:rsidTr="00AB29DB">
        <w:tc>
          <w:tcPr>
            <w:tcW w:w="4452" w:type="dxa"/>
            <w:tcBorders>
              <w:top w:val="single" w:sz="4" w:space="0" w:color="auto"/>
              <w:bottom w:val="single" w:sz="4" w:space="0" w:color="auto"/>
              <w:right w:val="single" w:sz="4" w:space="0" w:color="auto"/>
            </w:tcBorders>
            <w:vAlign w:val="center"/>
          </w:tcPr>
          <w:p w14:paraId="09039ADD" w14:textId="77777777" w:rsidR="009D480A" w:rsidRPr="00892C31" w:rsidRDefault="009D480A" w:rsidP="00AB29DB">
            <w:pPr>
              <w:ind w:firstLine="0"/>
              <w:jc w:val="center"/>
              <w:rPr>
                <w:rFonts w:ascii="MarkPro" w:hAnsi="MarkPro" w:cs="Arial"/>
                <w:kern w:val="24"/>
              </w:rPr>
            </w:pPr>
            <w:r w:rsidRPr="00892C31">
              <w:rPr>
                <w:rFonts w:ascii="MarkPro" w:hAnsi="MarkPro" w:cs="Arial"/>
                <w:kern w:val="24"/>
              </w:rPr>
              <w:t>Kontroles un uzraudzības sistēma</w:t>
            </w:r>
          </w:p>
        </w:tc>
        <w:tc>
          <w:tcPr>
            <w:tcW w:w="4453" w:type="dxa"/>
            <w:tcBorders>
              <w:top w:val="single" w:sz="4" w:space="0" w:color="auto"/>
              <w:left w:val="single" w:sz="4" w:space="0" w:color="auto"/>
              <w:bottom w:val="single" w:sz="4" w:space="0" w:color="auto"/>
              <w:right w:val="single" w:sz="4" w:space="0" w:color="auto"/>
            </w:tcBorders>
            <w:shd w:val="clear" w:color="auto" w:fill="auto"/>
            <w:vAlign w:val="center"/>
          </w:tcPr>
          <w:p w14:paraId="6A58D2E5" w14:textId="77777777" w:rsidR="009D480A" w:rsidRPr="00892C31" w:rsidRDefault="009D480A" w:rsidP="00AB29DB">
            <w:pPr>
              <w:ind w:firstLine="0"/>
              <w:jc w:val="center"/>
              <w:rPr>
                <w:rFonts w:ascii="MarkPro" w:hAnsi="MarkPro" w:cs="Arial"/>
                <w:kern w:val="24"/>
              </w:rPr>
            </w:pPr>
            <w:r w:rsidRPr="00892C31">
              <w:rPr>
                <w:rFonts w:ascii="MarkPro" w:hAnsi="MarkPro" w:cs="Arial"/>
                <w:kern w:val="24"/>
              </w:rPr>
              <w:t>Ieviesta kontroles sistēma, padomes iekšējā audita komiteja, izveidots ikgadējais audita plāns</w:t>
            </w:r>
          </w:p>
        </w:tc>
      </w:tr>
      <w:tr w:rsidR="009D480A" w:rsidRPr="00CC4E59" w14:paraId="065C664F" w14:textId="77777777" w:rsidTr="00AB29DB">
        <w:tc>
          <w:tcPr>
            <w:tcW w:w="4452" w:type="dxa"/>
            <w:tcBorders>
              <w:top w:val="single" w:sz="4" w:space="0" w:color="auto"/>
              <w:bottom w:val="single" w:sz="4" w:space="0" w:color="auto"/>
              <w:right w:val="single" w:sz="4" w:space="0" w:color="auto"/>
            </w:tcBorders>
            <w:vAlign w:val="center"/>
          </w:tcPr>
          <w:p w14:paraId="3F19C5E5" w14:textId="77777777" w:rsidR="009D480A" w:rsidRPr="00892C31" w:rsidRDefault="009D480A" w:rsidP="00AB29DB">
            <w:pPr>
              <w:ind w:firstLine="0"/>
              <w:jc w:val="center"/>
              <w:rPr>
                <w:rFonts w:ascii="MarkPro" w:hAnsi="MarkPro" w:cs="Arial"/>
                <w:kern w:val="24"/>
              </w:rPr>
            </w:pPr>
            <w:r w:rsidRPr="00892C31">
              <w:rPr>
                <w:rFonts w:ascii="MarkPro" w:hAnsi="MarkPro" w:cs="Arial"/>
                <w:kern w:val="24"/>
              </w:rPr>
              <w:t>Vienota projektu uzraudzība</w:t>
            </w:r>
          </w:p>
        </w:tc>
        <w:tc>
          <w:tcPr>
            <w:tcW w:w="4453" w:type="dxa"/>
            <w:tcBorders>
              <w:top w:val="single" w:sz="4" w:space="0" w:color="auto"/>
              <w:left w:val="single" w:sz="4" w:space="0" w:color="auto"/>
              <w:bottom w:val="single" w:sz="4" w:space="0" w:color="auto"/>
              <w:right w:val="single" w:sz="4" w:space="0" w:color="auto"/>
            </w:tcBorders>
            <w:shd w:val="clear" w:color="auto" w:fill="auto"/>
            <w:vAlign w:val="center"/>
          </w:tcPr>
          <w:p w14:paraId="5AC9AF71" w14:textId="77777777" w:rsidR="009D480A" w:rsidRPr="00892C31" w:rsidRDefault="009D480A" w:rsidP="00AB29DB">
            <w:pPr>
              <w:ind w:firstLine="0"/>
              <w:jc w:val="center"/>
              <w:rPr>
                <w:rFonts w:ascii="MarkPro" w:hAnsi="MarkPro" w:cs="Arial"/>
                <w:kern w:val="24"/>
              </w:rPr>
            </w:pPr>
            <w:r w:rsidRPr="00892C31">
              <w:rPr>
                <w:rFonts w:ascii="MarkPro" w:hAnsi="MarkPro" w:cs="Arial"/>
                <w:kern w:val="24"/>
              </w:rPr>
              <w:t>Ieviesta vienota projektu uzraudzības, pārvaldības sistēma</w:t>
            </w:r>
          </w:p>
        </w:tc>
      </w:tr>
    </w:tbl>
    <w:p w14:paraId="21CD9987" w14:textId="77777777" w:rsidR="009D480A" w:rsidRPr="00B6742D" w:rsidRDefault="009D480A" w:rsidP="009D480A"/>
    <w:p w14:paraId="678785B1" w14:textId="47860AC7" w:rsidR="009D480A" w:rsidRDefault="009D480A" w:rsidP="009D480A">
      <w:proofErr w:type="spellStart"/>
      <w:r>
        <w:t>Izmēģinājumprojekts</w:t>
      </w:r>
      <w:proofErr w:type="spellEnd"/>
      <w:r>
        <w:t xml:space="preserve"> ieviesīs valsts augstskolai elastīgākas iespējas noteikt samaksas principus, kuri studējošie var studēt bez maksas, kuri par daļēju samaksu jeb līdzmaksājumu, </w:t>
      </w:r>
      <w:r>
        <w:lastRenderedPageBreak/>
        <w:t xml:space="preserve">kuri, sedzot pilnas studiju izmaksas. Šie lēmumi var būt atšķirīgi, atkarībā no dažādu studiju programmu izmēra, pašizmaksām un pieprasījuma. Augstskolām ir jāspēj iekšēji veikt studiju izmaksu aprēķinus un kopējā pieejamā finansējuma ietvaros pieņemt racionālus lēmumus par uzņemšanas un studiju samaksas nosacījumiem. IZM slēgs vienošanos ar valsts </w:t>
      </w:r>
      <w:r w:rsidR="00E05424">
        <w:t>augstākās izglītības iestādi</w:t>
      </w:r>
      <w:r>
        <w:t xml:space="preserve"> par sagatavojamo speciālistu skaitu, it īpaši par tiem, kas ir svarīgi tautsaimniecības attīstībai, kā arī paredzot citus uzdevumus un nosacījumus augstskolai.</w:t>
      </w:r>
      <w:r w:rsidR="00E05424">
        <w:t xml:space="preserve"> Gadījumā, ja augstākās izglītības iestāde ir citas ministrijas padotībā, tad tiks noslēgts trīspusējs līgums starp IZM, </w:t>
      </w:r>
      <w:r w:rsidR="00F54B3A">
        <w:t>augstākās izglītības iestādi un ministriju, kuras padotībā tā ir.</w:t>
      </w:r>
    </w:p>
    <w:p w14:paraId="5520B33D" w14:textId="77777777" w:rsidR="009D480A" w:rsidRDefault="009D480A" w:rsidP="009D480A">
      <w:pPr>
        <w:rPr>
          <w:rFonts w:eastAsiaTheme="minorEastAsia"/>
        </w:rPr>
      </w:pPr>
      <w:r>
        <w:rPr>
          <w:rFonts w:eastAsiaTheme="minorEastAsia"/>
        </w:rPr>
        <w:t xml:space="preserve">2025. gada jūlijā IZM veiks </w:t>
      </w:r>
      <w:proofErr w:type="spellStart"/>
      <w:r>
        <w:rPr>
          <w:rFonts w:eastAsiaTheme="minorEastAsia"/>
        </w:rPr>
        <w:t>izvērtējumu</w:t>
      </w:r>
      <w:proofErr w:type="spellEnd"/>
      <w:r>
        <w:rPr>
          <w:rFonts w:eastAsiaTheme="minorEastAsia"/>
        </w:rPr>
        <w:t xml:space="preserve"> par </w:t>
      </w:r>
      <w:proofErr w:type="spellStart"/>
      <w:r>
        <w:rPr>
          <w:rFonts w:eastAsiaTheme="minorEastAsia"/>
        </w:rPr>
        <w:t>izmēģinājumprojekta</w:t>
      </w:r>
      <w:proofErr w:type="spellEnd"/>
      <w:r>
        <w:rPr>
          <w:rFonts w:eastAsiaTheme="minorEastAsia"/>
        </w:rPr>
        <w:t xml:space="preserve"> rezultātiem atbilstoši institucionālā finansējuma reformas mērķiem – iestāžu spējai sekot savai misijai, efektīvu finansējuma izlietojumu, izglītības kvalitātes pieaugumu. Tiks vērtēts </w:t>
      </w:r>
      <w:proofErr w:type="spellStart"/>
      <w:r>
        <w:rPr>
          <w:rFonts w:eastAsiaTheme="minorEastAsia"/>
        </w:rPr>
        <w:t>izmēģinājumprojektā</w:t>
      </w:r>
      <w:proofErr w:type="spellEnd"/>
      <w:r>
        <w:rPr>
          <w:rFonts w:eastAsiaTheme="minorEastAsia"/>
        </w:rPr>
        <w:t xml:space="preserve"> esošo augstskolu sniegums salīdzinājumā ar citām attiecīgā tipa iestādēm, kas nepiedalās </w:t>
      </w:r>
      <w:proofErr w:type="spellStart"/>
      <w:r>
        <w:rPr>
          <w:rFonts w:eastAsiaTheme="minorEastAsia"/>
        </w:rPr>
        <w:t>izmēģinājumprojektā</w:t>
      </w:r>
      <w:proofErr w:type="spellEnd"/>
      <w:r>
        <w:rPr>
          <w:rFonts w:eastAsiaTheme="minorEastAsia"/>
        </w:rPr>
        <w:t>. Tiks vērtēti sekojoši kritēriji, tos pielāgojot attiecīgajam iestādes tipam:</w:t>
      </w:r>
    </w:p>
    <w:p w14:paraId="470980EE" w14:textId="70514E65" w:rsidR="003E37EE" w:rsidRPr="009D5A23" w:rsidRDefault="009D5A23" w:rsidP="009D5A23">
      <w:pPr>
        <w:pStyle w:val="ListParagraph"/>
        <w:jc w:val="right"/>
        <w:rPr>
          <w:rFonts w:asciiTheme="minorHAnsi" w:hAnsiTheme="minorHAnsi"/>
          <w:sz w:val="24"/>
        </w:rPr>
      </w:pPr>
      <w:r>
        <w:rPr>
          <w:rFonts w:asciiTheme="minorHAnsi" w:hAnsiTheme="minorHAnsi"/>
          <w:sz w:val="24"/>
        </w:rPr>
        <w:t>4</w:t>
      </w:r>
      <w:r w:rsidRPr="00980FA5">
        <w:rPr>
          <w:rFonts w:asciiTheme="minorHAnsi" w:hAnsiTheme="minorHAnsi"/>
          <w:sz w:val="24"/>
        </w:rPr>
        <w:t>.</w:t>
      </w:r>
      <w:r>
        <w:rPr>
          <w:rFonts w:asciiTheme="minorHAnsi" w:hAnsiTheme="minorHAnsi"/>
          <w:sz w:val="24"/>
        </w:rPr>
        <w:t xml:space="preserve"> tabula</w:t>
      </w:r>
      <w:r w:rsidRPr="00980FA5">
        <w:rPr>
          <w:rFonts w:asciiTheme="minorHAnsi" w:hAnsiTheme="minorHAnsi"/>
          <w:sz w:val="24"/>
        </w:rPr>
        <w:t xml:space="preserve">: </w:t>
      </w:r>
      <w:r w:rsidRPr="009D5A23">
        <w:rPr>
          <w:rFonts w:asciiTheme="minorHAnsi" w:hAnsiTheme="minorHAnsi"/>
          <w:sz w:val="24"/>
        </w:rPr>
        <w:t xml:space="preserve">Zinātnes universitāšu, lietišķo zinātnes universitāšu, lietišķo zinātnes augstskolu un koledžu sasniedzamie rādītāji institucionālā finansējuma  </w:t>
      </w:r>
      <w:proofErr w:type="spellStart"/>
      <w:r w:rsidRPr="009D5A23">
        <w:rPr>
          <w:rFonts w:asciiTheme="minorHAnsi" w:hAnsiTheme="minorHAnsi"/>
          <w:sz w:val="24"/>
        </w:rPr>
        <w:t>izmēģinājumprojekta</w:t>
      </w:r>
      <w:proofErr w:type="spellEnd"/>
      <w:r w:rsidRPr="009D5A23">
        <w:rPr>
          <w:rFonts w:asciiTheme="minorHAnsi" w:hAnsiTheme="minorHAnsi"/>
          <w:sz w:val="24"/>
        </w:rPr>
        <w:t xml:space="preserve"> ietvaros</w:t>
      </w:r>
    </w:p>
    <w:tbl>
      <w:tblPr>
        <w:tblStyle w:val="TableGrid"/>
        <w:tblW w:w="8815" w:type="dxa"/>
        <w:tblLook w:val="04A0" w:firstRow="1" w:lastRow="0" w:firstColumn="1" w:lastColumn="0" w:noHBand="0" w:noVBand="1"/>
      </w:tblPr>
      <w:tblGrid>
        <w:gridCol w:w="4407"/>
        <w:gridCol w:w="4408"/>
      </w:tblGrid>
      <w:tr w:rsidR="009D480A" w:rsidRPr="00616E89" w14:paraId="173996FC" w14:textId="77777777" w:rsidTr="00AB29DB">
        <w:trPr>
          <w:tblHeader/>
        </w:trPr>
        <w:tc>
          <w:tcPr>
            <w:tcW w:w="4407" w:type="dxa"/>
            <w:shd w:val="clear" w:color="auto" w:fill="7030A0"/>
          </w:tcPr>
          <w:p w14:paraId="62890021" w14:textId="77777777" w:rsidR="009D480A" w:rsidRPr="00616E89" w:rsidRDefault="009D480A" w:rsidP="00AB29DB">
            <w:pPr>
              <w:ind w:firstLine="0"/>
              <w:jc w:val="center"/>
              <w:rPr>
                <w:b/>
                <w:color w:val="FFFFFF" w:themeColor="background1"/>
              </w:rPr>
            </w:pPr>
            <w:r w:rsidRPr="008D7A03">
              <w:rPr>
                <w:b/>
                <w:color w:val="FFFFFF" w:themeColor="background1"/>
              </w:rPr>
              <w:t>Rādītājs</w:t>
            </w:r>
          </w:p>
        </w:tc>
        <w:tc>
          <w:tcPr>
            <w:tcW w:w="4408" w:type="dxa"/>
            <w:shd w:val="clear" w:color="auto" w:fill="7030A0"/>
          </w:tcPr>
          <w:p w14:paraId="3CD6CB14" w14:textId="77777777" w:rsidR="009D480A" w:rsidRPr="00616E89" w:rsidRDefault="009D480A" w:rsidP="00AB29DB">
            <w:pPr>
              <w:ind w:firstLine="0"/>
              <w:jc w:val="center"/>
              <w:rPr>
                <w:b/>
                <w:color w:val="FFFFFF" w:themeColor="background1"/>
              </w:rPr>
            </w:pPr>
            <w:r w:rsidRPr="008D7A03">
              <w:rPr>
                <w:b/>
                <w:color w:val="FFFFFF" w:themeColor="background1"/>
              </w:rPr>
              <w:t>Kā tiks mērīts</w:t>
            </w:r>
          </w:p>
        </w:tc>
      </w:tr>
      <w:tr w:rsidR="009D480A" w:rsidRPr="00CC4E59" w14:paraId="39EA9916" w14:textId="77777777" w:rsidTr="00AB29DB">
        <w:tc>
          <w:tcPr>
            <w:tcW w:w="4407" w:type="dxa"/>
            <w:tcBorders>
              <w:top w:val="single" w:sz="4" w:space="0" w:color="auto"/>
              <w:bottom w:val="single" w:sz="4" w:space="0" w:color="auto"/>
              <w:right w:val="single" w:sz="4" w:space="0" w:color="auto"/>
            </w:tcBorders>
          </w:tcPr>
          <w:p w14:paraId="1761F76C" w14:textId="77777777" w:rsidR="009D480A" w:rsidRPr="00CC4E59" w:rsidRDefault="009D480A" w:rsidP="00AB29DB">
            <w:pPr>
              <w:ind w:firstLine="0"/>
              <w:jc w:val="center"/>
            </w:pPr>
            <w:r>
              <w:rPr>
                <w:rFonts w:eastAsiaTheme="minorEastAsia"/>
              </w:rPr>
              <w:t>Citu avotu finansējuma piesaiste</w:t>
            </w:r>
          </w:p>
        </w:tc>
        <w:tc>
          <w:tcPr>
            <w:tcW w:w="4408" w:type="dxa"/>
            <w:tcBorders>
              <w:top w:val="single" w:sz="4" w:space="0" w:color="auto"/>
              <w:left w:val="single" w:sz="4" w:space="0" w:color="auto"/>
              <w:bottom w:val="single" w:sz="4" w:space="0" w:color="auto"/>
              <w:right w:val="single" w:sz="4" w:space="0" w:color="auto"/>
            </w:tcBorders>
            <w:shd w:val="clear" w:color="auto" w:fill="auto"/>
          </w:tcPr>
          <w:p w14:paraId="245DB4B7" w14:textId="77777777" w:rsidR="009D480A" w:rsidRPr="00CC4E59" w:rsidRDefault="009D480A" w:rsidP="00AB29DB">
            <w:pPr>
              <w:ind w:firstLine="0"/>
              <w:jc w:val="center"/>
              <w:rPr>
                <w:rFonts w:ascii="Calibri" w:hAnsi="Calibri"/>
                <w:color w:val="000000"/>
                <w:sz w:val="22"/>
                <w:szCs w:val="22"/>
              </w:rPr>
            </w:pPr>
            <w:r>
              <w:rPr>
                <w:rFonts w:eastAsiaTheme="minorEastAsia"/>
              </w:rPr>
              <w:t>Piesaistītais finansējums no studiju maksām, tālākizglītības, starptautiskajiem projektiem un uzņēmumiem salīdzinājumā pret iepriekšējo gadu</w:t>
            </w:r>
          </w:p>
        </w:tc>
      </w:tr>
      <w:tr w:rsidR="009D480A" w:rsidRPr="00CC4E59" w14:paraId="0FD890A5" w14:textId="77777777" w:rsidTr="00AB29DB">
        <w:tc>
          <w:tcPr>
            <w:tcW w:w="4407" w:type="dxa"/>
            <w:tcBorders>
              <w:top w:val="single" w:sz="4" w:space="0" w:color="auto"/>
              <w:bottom w:val="single" w:sz="4" w:space="0" w:color="auto"/>
              <w:right w:val="single" w:sz="4" w:space="0" w:color="auto"/>
            </w:tcBorders>
          </w:tcPr>
          <w:p w14:paraId="77FFBB34" w14:textId="446671DD" w:rsidR="009D480A" w:rsidRPr="00CC4E59" w:rsidRDefault="009A3576" w:rsidP="00AB29DB">
            <w:pPr>
              <w:ind w:firstLine="0"/>
              <w:jc w:val="center"/>
            </w:pPr>
            <w:r>
              <w:rPr>
                <w:rFonts w:eastAsiaTheme="minorEastAsia"/>
              </w:rPr>
              <w:t>Stratēģiskās specializācijas</w:t>
            </w:r>
            <w:r w:rsidR="009D480A">
              <w:rPr>
                <w:rFonts w:eastAsiaTheme="minorEastAsia"/>
              </w:rPr>
              <w:t xml:space="preserve"> absolventu skaita pieaugums</w:t>
            </w:r>
          </w:p>
        </w:tc>
        <w:tc>
          <w:tcPr>
            <w:tcW w:w="4408" w:type="dxa"/>
            <w:tcBorders>
              <w:top w:val="single" w:sz="4" w:space="0" w:color="auto"/>
              <w:left w:val="single" w:sz="4" w:space="0" w:color="auto"/>
              <w:bottom w:val="single" w:sz="4" w:space="0" w:color="auto"/>
              <w:right w:val="single" w:sz="4" w:space="0" w:color="auto"/>
            </w:tcBorders>
            <w:shd w:val="clear" w:color="auto" w:fill="auto"/>
          </w:tcPr>
          <w:p w14:paraId="28BDAE68" w14:textId="61AEEBF9" w:rsidR="009D480A" w:rsidRPr="00CC4E59" w:rsidRDefault="009A3576" w:rsidP="00AB29DB">
            <w:pPr>
              <w:ind w:firstLine="0"/>
              <w:jc w:val="center"/>
              <w:rPr>
                <w:rFonts w:ascii="Calibri" w:hAnsi="Calibri"/>
                <w:color w:val="000000"/>
                <w:sz w:val="22"/>
                <w:szCs w:val="22"/>
              </w:rPr>
            </w:pPr>
            <w:r>
              <w:rPr>
                <w:rFonts w:eastAsiaTheme="minorEastAsia"/>
              </w:rPr>
              <w:t xml:space="preserve">Stratēģiskās specializācijas </w:t>
            </w:r>
            <w:r w:rsidR="009D480A">
              <w:rPr>
                <w:rFonts w:eastAsiaTheme="minorEastAsia"/>
              </w:rPr>
              <w:t>absolventu skaita izmaiņa pret iepriekšējo gadu</w:t>
            </w:r>
          </w:p>
        </w:tc>
      </w:tr>
      <w:tr w:rsidR="009D480A" w:rsidRPr="00CC4E59" w14:paraId="4161F6EF" w14:textId="77777777" w:rsidTr="00AB29DB">
        <w:tc>
          <w:tcPr>
            <w:tcW w:w="4407" w:type="dxa"/>
            <w:tcBorders>
              <w:top w:val="single" w:sz="4" w:space="0" w:color="auto"/>
              <w:bottom w:val="single" w:sz="4" w:space="0" w:color="auto"/>
              <w:right w:val="single" w:sz="4" w:space="0" w:color="auto"/>
            </w:tcBorders>
          </w:tcPr>
          <w:p w14:paraId="0231BAA6" w14:textId="2D8C78F4" w:rsidR="009D480A" w:rsidRPr="00CC4E59" w:rsidRDefault="009A3576" w:rsidP="00AB29DB">
            <w:pPr>
              <w:ind w:firstLine="0"/>
              <w:jc w:val="center"/>
            </w:pPr>
            <w:r>
              <w:rPr>
                <w:rFonts w:eastAsiaTheme="minorEastAsia"/>
              </w:rPr>
              <w:t xml:space="preserve">Stratēģiskās specializācijas </w:t>
            </w:r>
            <w:r w:rsidR="009D480A">
              <w:rPr>
                <w:rFonts w:eastAsiaTheme="minorEastAsia"/>
              </w:rPr>
              <w:t>atbirums</w:t>
            </w:r>
          </w:p>
        </w:tc>
        <w:tc>
          <w:tcPr>
            <w:tcW w:w="4408" w:type="dxa"/>
            <w:tcBorders>
              <w:top w:val="single" w:sz="4" w:space="0" w:color="auto"/>
              <w:left w:val="single" w:sz="4" w:space="0" w:color="auto"/>
              <w:bottom w:val="single" w:sz="4" w:space="0" w:color="auto"/>
              <w:right w:val="single" w:sz="4" w:space="0" w:color="auto"/>
            </w:tcBorders>
            <w:shd w:val="clear" w:color="auto" w:fill="auto"/>
          </w:tcPr>
          <w:p w14:paraId="48D22854" w14:textId="2CB8C331" w:rsidR="009D480A" w:rsidRPr="00CC4E59" w:rsidRDefault="009A3576" w:rsidP="00AB29DB">
            <w:pPr>
              <w:ind w:firstLine="0"/>
              <w:jc w:val="center"/>
              <w:rPr>
                <w:rFonts w:ascii="Calibri" w:hAnsi="Calibri"/>
                <w:color w:val="000000"/>
                <w:sz w:val="22"/>
                <w:szCs w:val="22"/>
              </w:rPr>
            </w:pPr>
            <w:r>
              <w:rPr>
                <w:rFonts w:eastAsiaTheme="minorEastAsia"/>
              </w:rPr>
              <w:t xml:space="preserve">Stratēģiskās specializācijas </w:t>
            </w:r>
            <w:r w:rsidR="009D480A">
              <w:rPr>
                <w:rFonts w:eastAsiaTheme="minorEastAsia"/>
              </w:rPr>
              <w:t>studējošo īpatsvars, kas turpina studijas no gada uz gadu</w:t>
            </w:r>
          </w:p>
        </w:tc>
      </w:tr>
      <w:tr w:rsidR="009D480A" w:rsidRPr="00CC4E59" w14:paraId="1DE635F6" w14:textId="77777777" w:rsidTr="00AB29DB">
        <w:tc>
          <w:tcPr>
            <w:tcW w:w="4407" w:type="dxa"/>
            <w:tcBorders>
              <w:top w:val="single" w:sz="4" w:space="0" w:color="auto"/>
              <w:bottom w:val="single" w:sz="4" w:space="0" w:color="auto"/>
              <w:right w:val="single" w:sz="4" w:space="0" w:color="auto"/>
            </w:tcBorders>
            <w:vAlign w:val="center"/>
          </w:tcPr>
          <w:p w14:paraId="664B0630" w14:textId="18FD83E9" w:rsidR="009D480A" w:rsidRPr="00CC4E59" w:rsidRDefault="009A3576" w:rsidP="00AB29DB">
            <w:pPr>
              <w:ind w:firstLine="0"/>
              <w:jc w:val="center"/>
            </w:pPr>
            <w:r>
              <w:rPr>
                <w:rFonts w:eastAsiaTheme="minorEastAsia"/>
              </w:rPr>
              <w:t xml:space="preserve">Stratēģiskās specializācijas </w:t>
            </w:r>
            <w:r w:rsidR="009D480A">
              <w:t>studējošo īpatsvars</w:t>
            </w:r>
          </w:p>
        </w:tc>
        <w:tc>
          <w:tcPr>
            <w:tcW w:w="4408" w:type="dxa"/>
            <w:tcBorders>
              <w:top w:val="single" w:sz="4" w:space="0" w:color="auto"/>
              <w:left w:val="single" w:sz="4" w:space="0" w:color="auto"/>
              <w:bottom w:val="single" w:sz="4" w:space="0" w:color="auto"/>
              <w:right w:val="single" w:sz="4" w:space="0" w:color="auto"/>
            </w:tcBorders>
            <w:shd w:val="clear" w:color="auto" w:fill="auto"/>
            <w:vAlign w:val="center"/>
          </w:tcPr>
          <w:p w14:paraId="673957B2" w14:textId="72E0649F" w:rsidR="009D480A" w:rsidRPr="00CC4E59" w:rsidRDefault="009D480A" w:rsidP="00AB29DB">
            <w:pPr>
              <w:ind w:firstLine="0"/>
              <w:jc w:val="center"/>
              <w:rPr>
                <w:rFonts w:ascii="Calibri" w:hAnsi="Calibri"/>
                <w:color w:val="000000"/>
                <w:sz w:val="22"/>
                <w:szCs w:val="22"/>
              </w:rPr>
            </w:pPr>
            <w:r>
              <w:rPr>
                <w:rFonts w:ascii="Calibri" w:hAnsi="Calibri"/>
                <w:color w:val="000000"/>
                <w:sz w:val="22"/>
                <w:szCs w:val="22"/>
              </w:rPr>
              <w:t xml:space="preserve">Studējošo īpatsvars, kas studē </w:t>
            </w:r>
            <w:r w:rsidR="009A3576">
              <w:rPr>
                <w:rFonts w:ascii="Calibri" w:hAnsi="Calibri"/>
                <w:color w:val="000000"/>
              </w:rPr>
              <w:t>s</w:t>
            </w:r>
            <w:r w:rsidR="009A3576">
              <w:rPr>
                <w:rFonts w:eastAsiaTheme="minorEastAsia"/>
              </w:rPr>
              <w:t xml:space="preserve">tratēģiskās specializācijas </w:t>
            </w:r>
            <w:r>
              <w:rPr>
                <w:rFonts w:ascii="Calibri" w:hAnsi="Calibri"/>
                <w:color w:val="000000"/>
                <w:sz w:val="22"/>
                <w:szCs w:val="22"/>
              </w:rPr>
              <w:t>jomā, salīdzinājumā ar iepriekšējo gadu</w:t>
            </w:r>
          </w:p>
        </w:tc>
      </w:tr>
      <w:tr w:rsidR="009D480A" w:rsidRPr="00CC4E59" w14:paraId="638D3279" w14:textId="77777777" w:rsidTr="00AB29DB">
        <w:tc>
          <w:tcPr>
            <w:tcW w:w="4407" w:type="dxa"/>
            <w:tcBorders>
              <w:top w:val="single" w:sz="4" w:space="0" w:color="auto"/>
              <w:bottom w:val="single" w:sz="4" w:space="0" w:color="auto"/>
              <w:right w:val="single" w:sz="4" w:space="0" w:color="auto"/>
            </w:tcBorders>
            <w:vAlign w:val="center"/>
          </w:tcPr>
          <w:p w14:paraId="23B0E03B" w14:textId="0F5ADE0F" w:rsidR="009D480A" w:rsidRPr="00CC4E59" w:rsidRDefault="009D480A" w:rsidP="00AB29DB">
            <w:pPr>
              <w:ind w:firstLine="0"/>
              <w:jc w:val="center"/>
            </w:pPr>
            <w:r>
              <w:t>Jauno zinātnieku sagatavošana</w:t>
            </w:r>
            <w:r w:rsidR="00763CE5">
              <w:t xml:space="preserve"> (tikai zinātnes universitātēm)</w:t>
            </w:r>
          </w:p>
        </w:tc>
        <w:tc>
          <w:tcPr>
            <w:tcW w:w="4408" w:type="dxa"/>
            <w:tcBorders>
              <w:top w:val="single" w:sz="4" w:space="0" w:color="auto"/>
              <w:left w:val="single" w:sz="4" w:space="0" w:color="auto"/>
              <w:bottom w:val="single" w:sz="4" w:space="0" w:color="auto"/>
              <w:right w:val="single" w:sz="4" w:space="0" w:color="auto"/>
            </w:tcBorders>
            <w:shd w:val="clear" w:color="auto" w:fill="auto"/>
            <w:vAlign w:val="center"/>
          </w:tcPr>
          <w:p w14:paraId="5397044F" w14:textId="77777777" w:rsidR="009D480A" w:rsidRPr="00CC4E59" w:rsidRDefault="009D480A" w:rsidP="00AB29DB">
            <w:pPr>
              <w:ind w:firstLine="0"/>
              <w:jc w:val="center"/>
              <w:rPr>
                <w:rFonts w:ascii="Calibri" w:hAnsi="Calibri"/>
                <w:color w:val="000000"/>
                <w:sz w:val="22"/>
                <w:szCs w:val="22"/>
              </w:rPr>
            </w:pPr>
            <w:r>
              <w:rPr>
                <w:rFonts w:ascii="Calibri" w:hAnsi="Calibri"/>
                <w:color w:val="000000"/>
                <w:sz w:val="22"/>
                <w:szCs w:val="22"/>
              </w:rPr>
              <w:t>Pētniecībā nodarbinātie maģistranti, doktoranti un doktora grādu ieguvēji (PLE) pret iepriekšējo gadu</w:t>
            </w:r>
          </w:p>
        </w:tc>
      </w:tr>
      <w:tr w:rsidR="009D480A" w:rsidRPr="00CC4E59" w14:paraId="07AB0804" w14:textId="77777777" w:rsidTr="00AB29DB">
        <w:tc>
          <w:tcPr>
            <w:tcW w:w="4407" w:type="dxa"/>
            <w:tcBorders>
              <w:top w:val="single" w:sz="4" w:space="0" w:color="auto"/>
              <w:bottom w:val="single" w:sz="4" w:space="0" w:color="auto"/>
              <w:right w:val="single" w:sz="4" w:space="0" w:color="auto"/>
            </w:tcBorders>
            <w:vAlign w:val="center"/>
          </w:tcPr>
          <w:p w14:paraId="3AD63BC0" w14:textId="62304FA5" w:rsidR="009D480A" w:rsidRPr="00CC4E59" w:rsidRDefault="009D480A" w:rsidP="00AB29DB">
            <w:pPr>
              <w:ind w:firstLine="0"/>
              <w:jc w:val="center"/>
            </w:pPr>
            <w:r>
              <w:t>Stabilas akadēmiskās karjeras</w:t>
            </w:r>
            <w:r w:rsidR="00763CE5">
              <w:t xml:space="preserve"> (tikai zinātnes universitātēm)</w:t>
            </w:r>
          </w:p>
        </w:tc>
        <w:tc>
          <w:tcPr>
            <w:tcW w:w="4408" w:type="dxa"/>
            <w:tcBorders>
              <w:top w:val="single" w:sz="4" w:space="0" w:color="auto"/>
              <w:left w:val="single" w:sz="4" w:space="0" w:color="auto"/>
              <w:bottom w:val="single" w:sz="4" w:space="0" w:color="auto"/>
              <w:right w:val="single" w:sz="4" w:space="0" w:color="auto"/>
            </w:tcBorders>
            <w:shd w:val="clear" w:color="auto" w:fill="auto"/>
            <w:vAlign w:val="center"/>
          </w:tcPr>
          <w:p w14:paraId="47BF0EE3" w14:textId="77777777" w:rsidR="009D480A" w:rsidRPr="00CC4E59" w:rsidRDefault="009D480A" w:rsidP="00AB29DB">
            <w:pPr>
              <w:ind w:firstLine="0"/>
              <w:jc w:val="center"/>
              <w:rPr>
                <w:rFonts w:ascii="Calibri" w:hAnsi="Calibri"/>
                <w:color w:val="000000"/>
                <w:sz w:val="22"/>
                <w:szCs w:val="22"/>
              </w:rPr>
            </w:pPr>
            <w:proofErr w:type="spellStart"/>
            <w:r>
              <w:rPr>
                <w:rFonts w:ascii="Calibri" w:hAnsi="Calibri"/>
                <w:color w:val="000000"/>
                <w:sz w:val="22"/>
                <w:szCs w:val="22"/>
              </w:rPr>
              <w:t>Tenūras</w:t>
            </w:r>
            <w:proofErr w:type="spellEnd"/>
            <w:r>
              <w:rPr>
                <w:rFonts w:ascii="Calibri" w:hAnsi="Calibri"/>
                <w:color w:val="000000"/>
                <w:sz w:val="22"/>
                <w:szCs w:val="22"/>
              </w:rPr>
              <w:t xml:space="preserve"> profesoru skaita pieaugums pret iepriekšējo gadu</w:t>
            </w:r>
          </w:p>
        </w:tc>
      </w:tr>
      <w:tr w:rsidR="009D480A" w:rsidRPr="00CC4E59" w14:paraId="73115673" w14:textId="77777777" w:rsidTr="00AB29DB">
        <w:tc>
          <w:tcPr>
            <w:tcW w:w="4407" w:type="dxa"/>
            <w:tcBorders>
              <w:top w:val="single" w:sz="4" w:space="0" w:color="auto"/>
              <w:bottom w:val="single" w:sz="4" w:space="0" w:color="auto"/>
              <w:right w:val="single" w:sz="4" w:space="0" w:color="auto"/>
            </w:tcBorders>
            <w:vAlign w:val="center"/>
          </w:tcPr>
          <w:p w14:paraId="475F23FF" w14:textId="77777777" w:rsidR="009D480A" w:rsidRPr="00CC4E59" w:rsidRDefault="009D480A" w:rsidP="00AB29DB">
            <w:pPr>
              <w:ind w:firstLine="0"/>
              <w:jc w:val="center"/>
            </w:pPr>
            <w:r>
              <w:t>Absolventu kvalitāte</w:t>
            </w:r>
          </w:p>
        </w:tc>
        <w:tc>
          <w:tcPr>
            <w:tcW w:w="4408" w:type="dxa"/>
            <w:tcBorders>
              <w:top w:val="single" w:sz="4" w:space="0" w:color="auto"/>
              <w:left w:val="single" w:sz="4" w:space="0" w:color="auto"/>
              <w:bottom w:val="single" w:sz="4" w:space="0" w:color="auto"/>
              <w:right w:val="single" w:sz="4" w:space="0" w:color="auto"/>
            </w:tcBorders>
            <w:shd w:val="clear" w:color="auto" w:fill="auto"/>
            <w:vAlign w:val="center"/>
          </w:tcPr>
          <w:p w14:paraId="27F4BD5D" w14:textId="77777777" w:rsidR="009D480A" w:rsidRPr="00CC4E59" w:rsidRDefault="009D480A" w:rsidP="00AB29DB">
            <w:pPr>
              <w:ind w:firstLine="0"/>
              <w:jc w:val="center"/>
              <w:rPr>
                <w:rFonts w:ascii="Calibri" w:hAnsi="Calibri"/>
                <w:color w:val="000000"/>
                <w:sz w:val="22"/>
                <w:szCs w:val="22"/>
              </w:rPr>
            </w:pPr>
            <w:r>
              <w:rPr>
                <w:rFonts w:ascii="Calibri" w:hAnsi="Calibri"/>
                <w:color w:val="000000"/>
                <w:sz w:val="22"/>
                <w:szCs w:val="22"/>
              </w:rPr>
              <w:t>Absolventu vidējā alga pret vidējo algu valstī, izmaiņa no gada uz gadu</w:t>
            </w:r>
          </w:p>
        </w:tc>
      </w:tr>
    </w:tbl>
    <w:p w14:paraId="7B2E666C" w14:textId="77777777" w:rsidR="009D480A" w:rsidRDefault="009D480A" w:rsidP="009D480A">
      <w:pPr>
        <w:ind w:firstLine="0"/>
        <w:rPr>
          <w:rFonts w:eastAsiaTheme="minorEastAsia"/>
        </w:rPr>
      </w:pPr>
    </w:p>
    <w:p w14:paraId="467B9A97" w14:textId="77777777" w:rsidR="00D54811" w:rsidRDefault="00D54811" w:rsidP="009D480A">
      <w:pPr>
        <w:ind w:firstLine="0"/>
        <w:rPr>
          <w:rFonts w:eastAsiaTheme="minorEastAsia"/>
        </w:rPr>
      </w:pPr>
    </w:p>
    <w:p w14:paraId="37D3A69F" w14:textId="77777777" w:rsidR="00D54811" w:rsidRDefault="00D54811" w:rsidP="009D480A">
      <w:pPr>
        <w:ind w:firstLine="0"/>
        <w:rPr>
          <w:rFonts w:eastAsiaTheme="minorEastAsia"/>
        </w:rPr>
      </w:pPr>
    </w:p>
    <w:p w14:paraId="5AFCA7D0" w14:textId="77777777" w:rsidR="00D54811" w:rsidRDefault="00D54811" w:rsidP="009D480A">
      <w:pPr>
        <w:ind w:firstLine="0"/>
        <w:rPr>
          <w:rFonts w:eastAsiaTheme="minorEastAsia"/>
        </w:rPr>
      </w:pPr>
    </w:p>
    <w:p w14:paraId="158A79AF" w14:textId="77777777" w:rsidR="00D54811" w:rsidRDefault="00D54811" w:rsidP="009D480A">
      <w:pPr>
        <w:ind w:firstLine="0"/>
        <w:rPr>
          <w:rFonts w:eastAsiaTheme="minorEastAsia"/>
        </w:rPr>
      </w:pPr>
    </w:p>
    <w:p w14:paraId="2E90DA50" w14:textId="77777777" w:rsidR="00D54811" w:rsidRDefault="00D54811" w:rsidP="009D480A">
      <w:pPr>
        <w:ind w:firstLine="0"/>
        <w:rPr>
          <w:rFonts w:eastAsiaTheme="minorEastAsia"/>
        </w:rPr>
      </w:pPr>
    </w:p>
    <w:p w14:paraId="49C3164C" w14:textId="77777777" w:rsidR="00D54811" w:rsidRDefault="00D54811" w:rsidP="009D480A">
      <w:pPr>
        <w:ind w:firstLine="0"/>
        <w:rPr>
          <w:rFonts w:eastAsiaTheme="minorEastAsia"/>
        </w:rPr>
      </w:pPr>
    </w:p>
    <w:p w14:paraId="66E60223" w14:textId="77777777" w:rsidR="00D54811" w:rsidRDefault="00D54811" w:rsidP="009D480A">
      <w:pPr>
        <w:ind w:firstLine="0"/>
        <w:rPr>
          <w:rFonts w:eastAsiaTheme="minorEastAsia"/>
        </w:rPr>
      </w:pPr>
    </w:p>
    <w:p w14:paraId="60566EA2" w14:textId="7ABE35FD" w:rsidR="00763CE5" w:rsidRPr="009D5A23" w:rsidRDefault="009D5A23" w:rsidP="009D5A23">
      <w:pPr>
        <w:pStyle w:val="ListParagraph"/>
        <w:jc w:val="right"/>
        <w:rPr>
          <w:rFonts w:asciiTheme="minorHAnsi" w:hAnsiTheme="minorHAnsi"/>
          <w:sz w:val="24"/>
        </w:rPr>
      </w:pPr>
      <w:r>
        <w:rPr>
          <w:rFonts w:asciiTheme="minorHAnsi" w:hAnsiTheme="minorHAnsi"/>
          <w:sz w:val="24"/>
        </w:rPr>
        <w:lastRenderedPageBreak/>
        <w:t>5</w:t>
      </w:r>
      <w:r w:rsidRPr="00980FA5">
        <w:rPr>
          <w:rFonts w:asciiTheme="minorHAnsi" w:hAnsiTheme="minorHAnsi"/>
          <w:sz w:val="24"/>
        </w:rPr>
        <w:t>.</w:t>
      </w:r>
      <w:r>
        <w:rPr>
          <w:rFonts w:asciiTheme="minorHAnsi" w:hAnsiTheme="minorHAnsi"/>
          <w:sz w:val="24"/>
        </w:rPr>
        <w:t xml:space="preserve"> tabula</w:t>
      </w:r>
      <w:r w:rsidRPr="00980FA5">
        <w:rPr>
          <w:rFonts w:asciiTheme="minorHAnsi" w:hAnsiTheme="minorHAnsi"/>
          <w:sz w:val="24"/>
        </w:rPr>
        <w:t xml:space="preserve">: </w:t>
      </w:r>
      <w:r w:rsidRPr="009D5A23">
        <w:rPr>
          <w:rFonts w:asciiTheme="minorHAnsi" w:hAnsiTheme="minorHAnsi"/>
          <w:sz w:val="24"/>
        </w:rPr>
        <w:t xml:space="preserve">Mākslu un kultūras universitāšu sasniedzamie rādītāji institucionālā finansējuma  </w:t>
      </w:r>
      <w:proofErr w:type="spellStart"/>
      <w:r w:rsidRPr="009D5A23">
        <w:rPr>
          <w:rFonts w:asciiTheme="minorHAnsi" w:hAnsiTheme="minorHAnsi"/>
          <w:sz w:val="24"/>
        </w:rPr>
        <w:t>izmēģinājumprojekta</w:t>
      </w:r>
      <w:proofErr w:type="spellEnd"/>
      <w:r w:rsidRPr="009D5A23">
        <w:rPr>
          <w:rFonts w:asciiTheme="minorHAnsi" w:hAnsiTheme="minorHAnsi"/>
          <w:sz w:val="24"/>
        </w:rPr>
        <w:t xml:space="preserve"> ietvaros</w:t>
      </w:r>
    </w:p>
    <w:tbl>
      <w:tblPr>
        <w:tblStyle w:val="TableGrid"/>
        <w:tblW w:w="8815" w:type="dxa"/>
        <w:tblLook w:val="04A0" w:firstRow="1" w:lastRow="0" w:firstColumn="1" w:lastColumn="0" w:noHBand="0" w:noVBand="1"/>
      </w:tblPr>
      <w:tblGrid>
        <w:gridCol w:w="4407"/>
        <w:gridCol w:w="4408"/>
      </w:tblGrid>
      <w:tr w:rsidR="00763CE5" w:rsidRPr="00616E89" w14:paraId="6DC82100" w14:textId="77777777" w:rsidTr="008F25FC">
        <w:trPr>
          <w:tblHeader/>
        </w:trPr>
        <w:tc>
          <w:tcPr>
            <w:tcW w:w="4407" w:type="dxa"/>
            <w:shd w:val="clear" w:color="auto" w:fill="7030A0"/>
          </w:tcPr>
          <w:p w14:paraId="6EDF1EDB" w14:textId="77777777" w:rsidR="00763CE5" w:rsidRPr="00616E89" w:rsidRDefault="00763CE5" w:rsidP="008F25FC">
            <w:pPr>
              <w:ind w:firstLine="0"/>
              <w:jc w:val="center"/>
              <w:rPr>
                <w:b/>
                <w:color w:val="FFFFFF" w:themeColor="background1"/>
              </w:rPr>
            </w:pPr>
            <w:r w:rsidRPr="008D7A03">
              <w:rPr>
                <w:b/>
                <w:color w:val="FFFFFF" w:themeColor="background1"/>
              </w:rPr>
              <w:t>Rādītājs</w:t>
            </w:r>
          </w:p>
        </w:tc>
        <w:tc>
          <w:tcPr>
            <w:tcW w:w="4408" w:type="dxa"/>
            <w:shd w:val="clear" w:color="auto" w:fill="7030A0"/>
          </w:tcPr>
          <w:p w14:paraId="00AFA7E1" w14:textId="77777777" w:rsidR="00763CE5" w:rsidRPr="00616E89" w:rsidRDefault="00763CE5" w:rsidP="008F25FC">
            <w:pPr>
              <w:ind w:firstLine="0"/>
              <w:jc w:val="center"/>
              <w:rPr>
                <w:b/>
                <w:color w:val="FFFFFF" w:themeColor="background1"/>
              </w:rPr>
            </w:pPr>
            <w:r w:rsidRPr="008D7A03">
              <w:rPr>
                <w:b/>
                <w:color w:val="FFFFFF" w:themeColor="background1"/>
              </w:rPr>
              <w:t>Kā tiks mērīts</w:t>
            </w:r>
          </w:p>
        </w:tc>
      </w:tr>
      <w:tr w:rsidR="00763CE5" w:rsidRPr="00CC4E59" w14:paraId="0C6D6BF6" w14:textId="77777777" w:rsidTr="008F25FC">
        <w:tc>
          <w:tcPr>
            <w:tcW w:w="4407" w:type="dxa"/>
            <w:tcBorders>
              <w:top w:val="single" w:sz="4" w:space="0" w:color="auto"/>
              <w:bottom w:val="single" w:sz="4" w:space="0" w:color="auto"/>
              <w:right w:val="single" w:sz="4" w:space="0" w:color="auto"/>
            </w:tcBorders>
          </w:tcPr>
          <w:p w14:paraId="31A6FB08" w14:textId="77777777" w:rsidR="00763CE5" w:rsidRPr="00CC4E59" w:rsidRDefault="00763CE5" w:rsidP="008F25FC">
            <w:pPr>
              <w:ind w:firstLine="0"/>
              <w:jc w:val="center"/>
            </w:pPr>
            <w:r>
              <w:rPr>
                <w:rFonts w:eastAsiaTheme="minorEastAsia"/>
              </w:rPr>
              <w:t>Citu avotu finansējuma piesaiste</w:t>
            </w:r>
          </w:p>
        </w:tc>
        <w:tc>
          <w:tcPr>
            <w:tcW w:w="4408" w:type="dxa"/>
            <w:tcBorders>
              <w:top w:val="single" w:sz="4" w:space="0" w:color="auto"/>
              <w:left w:val="single" w:sz="4" w:space="0" w:color="auto"/>
              <w:bottom w:val="single" w:sz="4" w:space="0" w:color="auto"/>
              <w:right w:val="single" w:sz="4" w:space="0" w:color="auto"/>
            </w:tcBorders>
            <w:shd w:val="clear" w:color="auto" w:fill="auto"/>
          </w:tcPr>
          <w:p w14:paraId="6DF934D9" w14:textId="0B3B237D" w:rsidR="00763CE5" w:rsidRPr="00CC4E59" w:rsidRDefault="0041172E" w:rsidP="008F25FC">
            <w:pPr>
              <w:ind w:firstLine="0"/>
              <w:jc w:val="center"/>
              <w:rPr>
                <w:rFonts w:ascii="Calibri" w:hAnsi="Calibri"/>
                <w:color w:val="000000"/>
                <w:sz w:val="22"/>
                <w:szCs w:val="22"/>
              </w:rPr>
            </w:pPr>
            <w:r w:rsidRPr="0041172E">
              <w:rPr>
                <w:rFonts w:eastAsiaTheme="minorEastAsia"/>
              </w:rPr>
              <w:t>Piesaistītā finansējuma pieaugums, t.sk. no studiju maksām, tālākizglītības, nacionāla un starptautiska mēroga mākslinieciskās jaunrades, pētniecības un attīstības projektiem, un citiem avotiem pret iepriekšējo gadu</w:t>
            </w:r>
          </w:p>
        </w:tc>
      </w:tr>
      <w:tr w:rsidR="00763CE5" w:rsidRPr="00CC4E59" w14:paraId="69F75C77" w14:textId="77777777" w:rsidTr="008F25FC">
        <w:tc>
          <w:tcPr>
            <w:tcW w:w="4407" w:type="dxa"/>
            <w:tcBorders>
              <w:top w:val="single" w:sz="4" w:space="0" w:color="auto"/>
              <w:bottom w:val="single" w:sz="4" w:space="0" w:color="auto"/>
              <w:right w:val="single" w:sz="4" w:space="0" w:color="auto"/>
            </w:tcBorders>
          </w:tcPr>
          <w:p w14:paraId="5CD36B0C" w14:textId="122E7E44" w:rsidR="00763CE5" w:rsidRPr="00CC4E59" w:rsidRDefault="007A264A" w:rsidP="008F25FC">
            <w:pPr>
              <w:ind w:firstLine="0"/>
              <w:jc w:val="center"/>
            </w:pPr>
            <w:proofErr w:type="spellStart"/>
            <w:r>
              <w:t>Starpdisciplinaritātes</w:t>
            </w:r>
            <w:proofErr w:type="spellEnd"/>
            <w:r>
              <w:t xml:space="preserve"> attīstība</w:t>
            </w:r>
          </w:p>
        </w:tc>
        <w:tc>
          <w:tcPr>
            <w:tcW w:w="4408" w:type="dxa"/>
            <w:tcBorders>
              <w:top w:val="single" w:sz="4" w:space="0" w:color="auto"/>
              <w:left w:val="single" w:sz="4" w:space="0" w:color="auto"/>
              <w:bottom w:val="single" w:sz="4" w:space="0" w:color="auto"/>
              <w:right w:val="single" w:sz="4" w:space="0" w:color="auto"/>
            </w:tcBorders>
            <w:shd w:val="clear" w:color="auto" w:fill="auto"/>
          </w:tcPr>
          <w:p w14:paraId="35BE8B6B" w14:textId="67147211" w:rsidR="00763CE5" w:rsidRPr="00CC4E59" w:rsidRDefault="00E55282" w:rsidP="008F25FC">
            <w:pPr>
              <w:ind w:firstLine="0"/>
              <w:jc w:val="center"/>
              <w:rPr>
                <w:rFonts w:ascii="Calibri" w:hAnsi="Calibri"/>
                <w:color w:val="000000"/>
                <w:sz w:val="22"/>
                <w:szCs w:val="22"/>
              </w:rPr>
            </w:pPr>
            <w:r w:rsidRPr="00E55282">
              <w:rPr>
                <w:rFonts w:ascii="Calibri" w:hAnsi="Calibri"/>
                <w:color w:val="000000"/>
                <w:sz w:val="22"/>
                <w:szCs w:val="22"/>
              </w:rPr>
              <w:t>Studiju priekšmetu ar STEM/STEAM elementiem pieaugums pret iepriekšējo gadu (t.sk. vērtējot STEM/STEAM sinerģiju pētniecībā un radošajā darbībā).</w:t>
            </w:r>
          </w:p>
        </w:tc>
      </w:tr>
      <w:tr w:rsidR="00763CE5" w:rsidRPr="00CC4E59" w14:paraId="567C65F6" w14:textId="77777777" w:rsidTr="008F25FC">
        <w:tc>
          <w:tcPr>
            <w:tcW w:w="4407" w:type="dxa"/>
            <w:tcBorders>
              <w:top w:val="single" w:sz="4" w:space="0" w:color="auto"/>
              <w:bottom w:val="single" w:sz="4" w:space="0" w:color="auto"/>
              <w:right w:val="single" w:sz="4" w:space="0" w:color="auto"/>
            </w:tcBorders>
          </w:tcPr>
          <w:p w14:paraId="51A31DD7" w14:textId="66CEFE3C" w:rsidR="00763CE5" w:rsidRPr="00CC4E59" w:rsidRDefault="00D516DC" w:rsidP="008F25FC">
            <w:pPr>
              <w:ind w:firstLine="0"/>
              <w:jc w:val="center"/>
            </w:pPr>
            <w:r>
              <w:t>Stabilas akadēmiskās karjeras</w:t>
            </w:r>
          </w:p>
        </w:tc>
        <w:tc>
          <w:tcPr>
            <w:tcW w:w="4408" w:type="dxa"/>
            <w:tcBorders>
              <w:top w:val="single" w:sz="4" w:space="0" w:color="auto"/>
              <w:left w:val="single" w:sz="4" w:space="0" w:color="auto"/>
              <w:bottom w:val="single" w:sz="4" w:space="0" w:color="auto"/>
              <w:right w:val="single" w:sz="4" w:space="0" w:color="auto"/>
            </w:tcBorders>
            <w:shd w:val="clear" w:color="auto" w:fill="auto"/>
          </w:tcPr>
          <w:p w14:paraId="79BCAE6C" w14:textId="7741AA6D" w:rsidR="00763CE5" w:rsidRPr="00CC4E59" w:rsidRDefault="00D516DC" w:rsidP="008F25FC">
            <w:pPr>
              <w:ind w:firstLine="0"/>
              <w:jc w:val="center"/>
              <w:rPr>
                <w:rFonts w:ascii="Calibri" w:hAnsi="Calibri"/>
                <w:color w:val="000000"/>
                <w:sz w:val="22"/>
                <w:szCs w:val="22"/>
              </w:rPr>
            </w:pPr>
            <w:proofErr w:type="spellStart"/>
            <w:r w:rsidRPr="00D516DC">
              <w:rPr>
                <w:rFonts w:ascii="Calibri" w:hAnsi="Calibri"/>
                <w:color w:val="000000"/>
                <w:sz w:val="22"/>
                <w:szCs w:val="22"/>
              </w:rPr>
              <w:t>Tenūras</w:t>
            </w:r>
            <w:proofErr w:type="spellEnd"/>
            <w:r w:rsidRPr="00D516DC">
              <w:rPr>
                <w:rFonts w:ascii="Calibri" w:hAnsi="Calibri"/>
                <w:color w:val="000000"/>
                <w:sz w:val="22"/>
                <w:szCs w:val="22"/>
              </w:rPr>
              <w:t xml:space="preserve"> profesoru un/vai studiju darbā piesaistīto nozares profesionāļu (vietējo un starptautisko mākslinieku) skaita pieaugums pret iepriekšējo gadu un/vai pastāvīgs nodrošinājums</w:t>
            </w:r>
          </w:p>
        </w:tc>
      </w:tr>
      <w:tr w:rsidR="00763CE5" w:rsidRPr="00CC4E59" w14:paraId="04CDBC24" w14:textId="77777777" w:rsidTr="008F25FC">
        <w:tc>
          <w:tcPr>
            <w:tcW w:w="4407" w:type="dxa"/>
            <w:tcBorders>
              <w:top w:val="single" w:sz="4" w:space="0" w:color="auto"/>
              <w:bottom w:val="single" w:sz="4" w:space="0" w:color="auto"/>
              <w:right w:val="single" w:sz="4" w:space="0" w:color="auto"/>
            </w:tcBorders>
            <w:vAlign w:val="center"/>
          </w:tcPr>
          <w:p w14:paraId="7D606A9A" w14:textId="18844BAE" w:rsidR="00763CE5" w:rsidRPr="00CC4E59" w:rsidRDefault="00B12F38" w:rsidP="008F25FC">
            <w:pPr>
              <w:ind w:firstLine="0"/>
              <w:jc w:val="center"/>
            </w:pPr>
            <w:r w:rsidRPr="00B12F38">
              <w:t>Uzlabot izglītības programmu atbilstību darba tirgus pieprasījumam un veicināt absolventu nodarbinātību specialitātē.</w:t>
            </w:r>
          </w:p>
        </w:tc>
        <w:tc>
          <w:tcPr>
            <w:tcW w:w="4408" w:type="dxa"/>
            <w:tcBorders>
              <w:top w:val="single" w:sz="4" w:space="0" w:color="auto"/>
              <w:left w:val="single" w:sz="4" w:space="0" w:color="auto"/>
              <w:bottom w:val="single" w:sz="4" w:space="0" w:color="auto"/>
              <w:right w:val="single" w:sz="4" w:space="0" w:color="auto"/>
            </w:tcBorders>
            <w:shd w:val="clear" w:color="auto" w:fill="auto"/>
            <w:vAlign w:val="center"/>
          </w:tcPr>
          <w:p w14:paraId="76E686C9" w14:textId="73B1E6F5" w:rsidR="00763CE5" w:rsidRPr="00CC4E59" w:rsidRDefault="005B6863" w:rsidP="008F25FC">
            <w:pPr>
              <w:ind w:firstLine="0"/>
              <w:jc w:val="center"/>
              <w:rPr>
                <w:rFonts w:ascii="Calibri" w:hAnsi="Calibri"/>
                <w:color w:val="000000"/>
                <w:sz w:val="22"/>
                <w:szCs w:val="22"/>
              </w:rPr>
            </w:pPr>
            <w:r w:rsidRPr="005B6863">
              <w:rPr>
                <w:rFonts w:ascii="Calibri" w:hAnsi="Calibri"/>
                <w:color w:val="000000"/>
                <w:sz w:val="22"/>
                <w:szCs w:val="22"/>
              </w:rPr>
              <w:t>Sagatavoto, darba tirgū trūkstošo un pieprasīto speciālistu skaits</w:t>
            </w:r>
          </w:p>
        </w:tc>
      </w:tr>
      <w:tr w:rsidR="00763CE5" w:rsidRPr="00CC4E59" w14:paraId="06D0C161" w14:textId="77777777" w:rsidTr="008F25FC">
        <w:tc>
          <w:tcPr>
            <w:tcW w:w="4407" w:type="dxa"/>
            <w:tcBorders>
              <w:top w:val="single" w:sz="4" w:space="0" w:color="auto"/>
              <w:bottom w:val="single" w:sz="4" w:space="0" w:color="auto"/>
              <w:right w:val="single" w:sz="4" w:space="0" w:color="auto"/>
            </w:tcBorders>
            <w:vAlign w:val="center"/>
          </w:tcPr>
          <w:p w14:paraId="63B772F0" w14:textId="2FA3B731" w:rsidR="00763CE5" w:rsidRPr="00CC4E59" w:rsidRDefault="00F4528C" w:rsidP="008F25FC">
            <w:pPr>
              <w:ind w:firstLine="0"/>
              <w:jc w:val="center"/>
            </w:pPr>
            <w:r>
              <w:t>Programmu konkurētspēja</w:t>
            </w:r>
          </w:p>
        </w:tc>
        <w:tc>
          <w:tcPr>
            <w:tcW w:w="4408" w:type="dxa"/>
            <w:tcBorders>
              <w:top w:val="single" w:sz="4" w:space="0" w:color="auto"/>
              <w:left w:val="single" w:sz="4" w:space="0" w:color="auto"/>
              <w:bottom w:val="single" w:sz="4" w:space="0" w:color="auto"/>
              <w:right w:val="single" w:sz="4" w:space="0" w:color="auto"/>
            </w:tcBorders>
            <w:shd w:val="clear" w:color="auto" w:fill="auto"/>
            <w:vAlign w:val="center"/>
          </w:tcPr>
          <w:p w14:paraId="0FC1546E" w14:textId="0C78A88A" w:rsidR="00763CE5" w:rsidRPr="00CC4E59" w:rsidRDefault="007573F7" w:rsidP="008F25FC">
            <w:pPr>
              <w:ind w:firstLine="0"/>
              <w:jc w:val="center"/>
              <w:rPr>
                <w:rFonts w:ascii="Calibri" w:hAnsi="Calibri"/>
                <w:color w:val="000000"/>
                <w:sz w:val="22"/>
                <w:szCs w:val="22"/>
              </w:rPr>
            </w:pPr>
            <w:r>
              <w:rPr>
                <w:rFonts w:ascii="Calibri" w:hAnsi="Calibri"/>
                <w:color w:val="000000"/>
                <w:sz w:val="22"/>
                <w:szCs w:val="22"/>
              </w:rPr>
              <w:t>Reflektantu konkurss uz 1 studiju vietu</w:t>
            </w:r>
          </w:p>
        </w:tc>
      </w:tr>
      <w:tr w:rsidR="00763CE5" w:rsidRPr="00CC4E59" w14:paraId="0F328281" w14:textId="77777777" w:rsidTr="008F25FC">
        <w:tc>
          <w:tcPr>
            <w:tcW w:w="4407" w:type="dxa"/>
            <w:tcBorders>
              <w:top w:val="single" w:sz="4" w:space="0" w:color="auto"/>
              <w:bottom w:val="single" w:sz="4" w:space="0" w:color="auto"/>
              <w:right w:val="single" w:sz="4" w:space="0" w:color="auto"/>
            </w:tcBorders>
            <w:vAlign w:val="center"/>
          </w:tcPr>
          <w:p w14:paraId="1197494F" w14:textId="10295A12" w:rsidR="00763CE5" w:rsidRPr="00CC4E59" w:rsidRDefault="0038150A" w:rsidP="008F25FC">
            <w:pPr>
              <w:ind w:firstLine="0"/>
              <w:jc w:val="center"/>
            </w:pPr>
            <w:r>
              <w:t>Internacionalizācija</w:t>
            </w:r>
          </w:p>
        </w:tc>
        <w:tc>
          <w:tcPr>
            <w:tcW w:w="4408" w:type="dxa"/>
            <w:tcBorders>
              <w:top w:val="single" w:sz="4" w:space="0" w:color="auto"/>
              <w:left w:val="single" w:sz="4" w:space="0" w:color="auto"/>
              <w:bottom w:val="single" w:sz="4" w:space="0" w:color="auto"/>
              <w:right w:val="single" w:sz="4" w:space="0" w:color="auto"/>
            </w:tcBorders>
            <w:shd w:val="clear" w:color="auto" w:fill="auto"/>
            <w:vAlign w:val="center"/>
          </w:tcPr>
          <w:p w14:paraId="73E40F79" w14:textId="0B364263" w:rsidR="00763CE5" w:rsidRPr="00CC4E59" w:rsidRDefault="0038150A" w:rsidP="008F25FC">
            <w:pPr>
              <w:ind w:firstLine="0"/>
              <w:jc w:val="center"/>
              <w:rPr>
                <w:rFonts w:ascii="Calibri" w:hAnsi="Calibri"/>
                <w:color w:val="000000"/>
                <w:sz w:val="22"/>
                <w:szCs w:val="22"/>
              </w:rPr>
            </w:pPr>
            <w:r w:rsidRPr="0038150A">
              <w:rPr>
                <w:rFonts w:ascii="Calibri" w:hAnsi="Calibri"/>
                <w:color w:val="000000"/>
                <w:sz w:val="22"/>
                <w:szCs w:val="22"/>
              </w:rPr>
              <w:t>Mobilitāšu un ārzemju studentu skaita pieaugums pret iepriekšējo gadu</w:t>
            </w:r>
          </w:p>
        </w:tc>
      </w:tr>
      <w:tr w:rsidR="0038150A" w:rsidRPr="00CC4E59" w14:paraId="6DE24A20" w14:textId="77777777" w:rsidTr="008F25FC">
        <w:tc>
          <w:tcPr>
            <w:tcW w:w="4407" w:type="dxa"/>
            <w:tcBorders>
              <w:top w:val="single" w:sz="4" w:space="0" w:color="auto"/>
              <w:bottom w:val="single" w:sz="4" w:space="0" w:color="auto"/>
              <w:right w:val="single" w:sz="4" w:space="0" w:color="auto"/>
            </w:tcBorders>
            <w:vAlign w:val="center"/>
          </w:tcPr>
          <w:p w14:paraId="35BB3EDB" w14:textId="6E544AAD" w:rsidR="0038150A" w:rsidRDefault="00250F6B" w:rsidP="008F25FC">
            <w:pPr>
              <w:ind w:firstLine="0"/>
              <w:jc w:val="center"/>
            </w:pPr>
            <w:r>
              <w:t>Kultūras un mākslinieciskā jaunrade</w:t>
            </w:r>
          </w:p>
        </w:tc>
        <w:tc>
          <w:tcPr>
            <w:tcW w:w="4408" w:type="dxa"/>
            <w:tcBorders>
              <w:top w:val="single" w:sz="4" w:space="0" w:color="auto"/>
              <w:left w:val="single" w:sz="4" w:space="0" w:color="auto"/>
              <w:bottom w:val="single" w:sz="4" w:space="0" w:color="auto"/>
              <w:right w:val="single" w:sz="4" w:space="0" w:color="auto"/>
            </w:tcBorders>
            <w:shd w:val="clear" w:color="auto" w:fill="auto"/>
            <w:vAlign w:val="center"/>
          </w:tcPr>
          <w:p w14:paraId="6B671D77" w14:textId="0C476E21" w:rsidR="0038150A" w:rsidRPr="0038150A" w:rsidRDefault="00250F6B" w:rsidP="008F25FC">
            <w:pPr>
              <w:ind w:firstLine="0"/>
              <w:jc w:val="center"/>
              <w:rPr>
                <w:rFonts w:ascii="Calibri" w:hAnsi="Calibri"/>
                <w:color w:val="000000"/>
                <w:sz w:val="22"/>
                <w:szCs w:val="22"/>
              </w:rPr>
            </w:pPr>
            <w:r w:rsidRPr="00250F6B">
              <w:rPr>
                <w:rFonts w:ascii="Calibri" w:hAnsi="Calibri"/>
                <w:color w:val="000000"/>
                <w:sz w:val="22"/>
                <w:szCs w:val="22"/>
              </w:rPr>
              <w:t>Augstskolas īstenoto un publiski pieejamo kultūras un mākslinieciskās jaunrades projektu skaits gadā (tai skaitā augstskolas īstenoto VKKF projektu un radošo pasākumu, kas publiski pieejami plašai sabiedrībai bez maksas, skaits gadā)</w:t>
            </w:r>
          </w:p>
        </w:tc>
      </w:tr>
      <w:tr w:rsidR="00763CE5" w:rsidRPr="00CC4E59" w14:paraId="2ACFFEB2" w14:textId="77777777" w:rsidTr="008F25FC">
        <w:tc>
          <w:tcPr>
            <w:tcW w:w="4407" w:type="dxa"/>
            <w:tcBorders>
              <w:top w:val="single" w:sz="4" w:space="0" w:color="auto"/>
              <w:bottom w:val="single" w:sz="4" w:space="0" w:color="auto"/>
              <w:right w:val="single" w:sz="4" w:space="0" w:color="auto"/>
            </w:tcBorders>
            <w:vAlign w:val="center"/>
          </w:tcPr>
          <w:p w14:paraId="1FC557EC" w14:textId="63023CC6" w:rsidR="00763CE5" w:rsidRPr="00CC4E59" w:rsidRDefault="00E434D8" w:rsidP="008F25FC">
            <w:pPr>
              <w:ind w:firstLine="0"/>
              <w:jc w:val="center"/>
            </w:pPr>
            <w:r>
              <w:t xml:space="preserve">Kultūras un </w:t>
            </w:r>
            <w:r w:rsidR="00026543">
              <w:t>mākslinieciskās</w:t>
            </w:r>
            <w:r>
              <w:t xml:space="preserve"> jaunrades kvalitāte</w:t>
            </w:r>
          </w:p>
        </w:tc>
        <w:tc>
          <w:tcPr>
            <w:tcW w:w="4408" w:type="dxa"/>
            <w:tcBorders>
              <w:top w:val="single" w:sz="4" w:space="0" w:color="auto"/>
              <w:left w:val="single" w:sz="4" w:space="0" w:color="auto"/>
              <w:bottom w:val="single" w:sz="4" w:space="0" w:color="auto"/>
              <w:right w:val="single" w:sz="4" w:space="0" w:color="auto"/>
            </w:tcBorders>
            <w:shd w:val="clear" w:color="auto" w:fill="auto"/>
            <w:vAlign w:val="center"/>
          </w:tcPr>
          <w:p w14:paraId="4C3B81A9" w14:textId="77777777" w:rsidR="00E434D8" w:rsidRPr="00E434D8" w:rsidRDefault="00E434D8" w:rsidP="00E434D8">
            <w:pPr>
              <w:ind w:firstLine="0"/>
              <w:jc w:val="center"/>
              <w:rPr>
                <w:rFonts w:ascii="Calibri" w:hAnsi="Calibri"/>
                <w:color w:val="000000"/>
                <w:sz w:val="22"/>
                <w:szCs w:val="22"/>
              </w:rPr>
            </w:pPr>
            <w:r w:rsidRPr="00E434D8">
              <w:rPr>
                <w:rFonts w:ascii="Calibri" w:hAnsi="Calibri"/>
                <w:color w:val="000000"/>
                <w:sz w:val="22"/>
                <w:szCs w:val="22"/>
              </w:rPr>
              <w:t>Studējošo mākslinieciskās jaunrades darbu novērtējumu un apbalvojumu skaits gadā</w:t>
            </w:r>
          </w:p>
          <w:p w14:paraId="70CAB007" w14:textId="21EA0571" w:rsidR="00763CE5" w:rsidRPr="00CC4E59" w:rsidRDefault="00E434D8" w:rsidP="00E434D8">
            <w:pPr>
              <w:ind w:firstLine="0"/>
              <w:jc w:val="center"/>
              <w:rPr>
                <w:rFonts w:ascii="Calibri" w:hAnsi="Calibri"/>
                <w:color w:val="000000"/>
                <w:sz w:val="22"/>
                <w:szCs w:val="22"/>
              </w:rPr>
            </w:pPr>
            <w:r w:rsidRPr="00E434D8">
              <w:rPr>
                <w:rFonts w:ascii="Calibri" w:hAnsi="Calibri"/>
                <w:color w:val="000000"/>
                <w:sz w:val="22"/>
                <w:szCs w:val="22"/>
              </w:rPr>
              <w:t>Starptautiski izcilu vai nacionālajā kultūrā un mākslā nozīmīgu mākslinieciskās jaunrades projektu (ar augstskolas docētāja dalību) skaits gadā</w:t>
            </w:r>
          </w:p>
        </w:tc>
      </w:tr>
      <w:tr w:rsidR="0083356D" w:rsidRPr="00CC4E59" w14:paraId="4C8016AF" w14:textId="77777777" w:rsidTr="008F25FC">
        <w:tc>
          <w:tcPr>
            <w:tcW w:w="4407" w:type="dxa"/>
            <w:tcBorders>
              <w:top w:val="single" w:sz="4" w:space="0" w:color="auto"/>
              <w:bottom w:val="single" w:sz="4" w:space="0" w:color="auto"/>
              <w:right w:val="single" w:sz="4" w:space="0" w:color="auto"/>
            </w:tcBorders>
            <w:vAlign w:val="center"/>
          </w:tcPr>
          <w:p w14:paraId="5B24298A" w14:textId="0CEFF3A4" w:rsidR="0083356D" w:rsidRDefault="00026543" w:rsidP="008F25FC">
            <w:pPr>
              <w:ind w:firstLine="0"/>
              <w:jc w:val="center"/>
            </w:pPr>
            <w:r>
              <w:t>Zinātniskās darbības attīstība</w:t>
            </w:r>
          </w:p>
        </w:tc>
        <w:tc>
          <w:tcPr>
            <w:tcW w:w="4408" w:type="dxa"/>
            <w:tcBorders>
              <w:top w:val="single" w:sz="4" w:space="0" w:color="auto"/>
              <w:left w:val="single" w:sz="4" w:space="0" w:color="auto"/>
              <w:bottom w:val="single" w:sz="4" w:space="0" w:color="auto"/>
              <w:right w:val="single" w:sz="4" w:space="0" w:color="auto"/>
            </w:tcBorders>
            <w:shd w:val="clear" w:color="auto" w:fill="auto"/>
            <w:vAlign w:val="center"/>
          </w:tcPr>
          <w:p w14:paraId="4C40DD4D" w14:textId="29DFAAC7" w:rsidR="004C1441" w:rsidRPr="004C1441" w:rsidRDefault="004C1441" w:rsidP="004C1441">
            <w:pPr>
              <w:ind w:firstLine="0"/>
              <w:jc w:val="center"/>
              <w:rPr>
                <w:rFonts w:ascii="Calibri" w:hAnsi="Calibri"/>
                <w:color w:val="000000"/>
                <w:sz w:val="22"/>
                <w:szCs w:val="22"/>
              </w:rPr>
            </w:pPr>
            <w:r>
              <w:rPr>
                <w:rFonts w:ascii="Calibri" w:hAnsi="Calibri"/>
                <w:color w:val="000000"/>
                <w:sz w:val="22"/>
                <w:szCs w:val="22"/>
              </w:rPr>
              <w:t>S</w:t>
            </w:r>
            <w:r w:rsidRPr="004C1441">
              <w:rPr>
                <w:rFonts w:ascii="Calibri" w:hAnsi="Calibri"/>
                <w:color w:val="000000"/>
                <w:sz w:val="22"/>
                <w:szCs w:val="22"/>
              </w:rPr>
              <w:t xml:space="preserve">tarptautiskās </w:t>
            </w:r>
            <w:proofErr w:type="spellStart"/>
            <w:r w:rsidRPr="004C1441">
              <w:rPr>
                <w:rFonts w:ascii="Calibri" w:hAnsi="Calibri"/>
                <w:color w:val="000000"/>
                <w:sz w:val="22"/>
                <w:szCs w:val="22"/>
              </w:rPr>
              <w:t>citējamības</w:t>
            </w:r>
            <w:proofErr w:type="spellEnd"/>
            <w:r w:rsidRPr="004C1441">
              <w:rPr>
                <w:rFonts w:ascii="Calibri" w:hAnsi="Calibri"/>
                <w:color w:val="000000"/>
                <w:sz w:val="22"/>
                <w:szCs w:val="22"/>
              </w:rPr>
              <w:t xml:space="preserve"> datubāzes </w:t>
            </w:r>
            <w:proofErr w:type="spellStart"/>
            <w:r w:rsidRPr="004C1441">
              <w:rPr>
                <w:rFonts w:ascii="Calibri" w:hAnsi="Calibri"/>
                <w:color w:val="000000"/>
                <w:sz w:val="22"/>
                <w:szCs w:val="22"/>
              </w:rPr>
              <w:t>Scopus</w:t>
            </w:r>
            <w:proofErr w:type="spellEnd"/>
            <w:r w:rsidRPr="004C1441">
              <w:rPr>
                <w:rFonts w:ascii="Calibri" w:hAnsi="Calibri"/>
                <w:color w:val="000000"/>
                <w:sz w:val="22"/>
                <w:szCs w:val="22"/>
              </w:rPr>
              <w:t xml:space="preserve"> publikāciju īpatsvars, kuras iekļautas starp 10 % nozares citētāko pasaules publikāciju, no visām Latvijas autoru publikācijām</w:t>
            </w:r>
          </w:p>
          <w:p w14:paraId="155A83D4" w14:textId="6F76A697" w:rsidR="0083356D" w:rsidRPr="00E434D8" w:rsidRDefault="004C1441" w:rsidP="004C1441">
            <w:pPr>
              <w:ind w:firstLine="0"/>
              <w:jc w:val="center"/>
              <w:rPr>
                <w:rFonts w:ascii="Calibri" w:hAnsi="Calibri"/>
                <w:color w:val="000000"/>
                <w:sz w:val="22"/>
                <w:szCs w:val="22"/>
              </w:rPr>
            </w:pPr>
            <w:r w:rsidRPr="004C1441">
              <w:rPr>
                <w:rFonts w:ascii="Calibri" w:hAnsi="Calibri"/>
                <w:color w:val="000000"/>
                <w:sz w:val="22"/>
                <w:szCs w:val="22"/>
              </w:rPr>
              <w:t>Pētniecībā nodarbinātie maģistranti, doktoranti un doktora grāda ieguvēji</w:t>
            </w:r>
          </w:p>
        </w:tc>
      </w:tr>
      <w:tr w:rsidR="00026543" w:rsidRPr="00CC4E59" w14:paraId="5F5EB49E" w14:textId="77777777" w:rsidTr="008F25FC">
        <w:tc>
          <w:tcPr>
            <w:tcW w:w="4407" w:type="dxa"/>
            <w:tcBorders>
              <w:top w:val="single" w:sz="4" w:space="0" w:color="auto"/>
              <w:bottom w:val="single" w:sz="4" w:space="0" w:color="auto"/>
              <w:right w:val="single" w:sz="4" w:space="0" w:color="auto"/>
            </w:tcBorders>
            <w:vAlign w:val="center"/>
          </w:tcPr>
          <w:p w14:paraId="2448AE46" w14:textId="23389C4D" w:rsidR="00026543" w:rsidRDefault="004C1441" w:rsidP="008F25FC">
            <w:pPr>
              <w:ind w:firstLine="0"/>
              <w:jc w:val="center"/>
            </w:pPr>
            <w:r>
              <w:t>Mūžizglītības attīstība</w:t>
            </w:r>
          </w:p>
        </w:tc>
        <w:tc>
          <w:tcPr>
            <w:tcW w:w="4408" w:type="dxa"/>
            <w:tcBorders>
              <w:top w:val="single" w:sz="4" w:space="0" w:color="auto"/>
              <w:left w:val="single" w:sz="4" w:space="0" w:color="auto"/>
              <w:bottom w:val="single" w:sz="4" w:space="0" w:color="auto"/>
              <w:right w:val="single" w:sz="4" w:space="0" w:color="auto"/>
            </w:tcBorders>
            <w:shd w:val="clear" w:color="auto" w:fill="auto"/>
            <w:vAlign w:val="center"/>
          </w:tcPr>
          <w:p w14:paraId="13528255" w14:textId="6BD567D5" w:rsidR="00026543" w:rsidRPr="00E434D8" w:rsidRDefault="002842E0" w:rsidP="00E434D8">
            <w:pPr>
              <w:ind w:firstLine="0"/>
              <w:jc w:val="center"/>
              <w:rPr>
                <w:rFonts w:ascii="Calibri" w:hAnsi="Calibri"/>
                <w:color w:val="000000"/>
                <w:sz w:val="22"/>
                <w:szCs w:val="22"/>
              </w:rPr>
            </w:pPr>
            <w:r w:rsidRPr="002842E0">
              <w:rPr>
                <w:rFonts w:ascii="Calibri" w:hAnsi="Calibri"/>
                <w:color w:val="000000"/>
                <w:sz w:val="22"/>
                <w:szCs w:val="22"/>
              </w:rPr>
              <w:t xml:space="preserve">Profesionālās pilnveides, tālākizglītības un mūžizglītības programmu apguvušo skaits </w:t>
            </w:r>
            <w:r w:rsidR="002C478A">
              <w:rPr>
                <w:rFonts w:ascii="Calibri" w:hAnsi="Calibri"/>
                <w:color w:val="000000"/>
                <w:sz w:val="22"/>
                <w:szCs w:val="22"/>
              </w:rPr>
              <w:t>gadā vai kredītpunktu apjoms</w:t>
            </w:r>
          </w:p>
        </w:tc>
      </w:tr>
    </w:tbl>
    <w:p w14:paraId="532B0BC6" w14:textId="77777777" w:rsidR="002842E0" w:rsidRDefault="002842E0" w:rsidP="009D480A">
      <w:pPr>
        <w:ind w:firstLine="0"/>
        <w:rPr>
          <w:rFonts w:eastAsiaTheme="minorEastAsia"/>
        </w:rPr>
      </w:pPr>
    </w:p>
    <w:p w14:paraId="7843B856" w14:textId="0D8F77CE" w:rsidR="00570150" w:rsidRDefault="002842E0" w:rsidP="00337645">
      <w:pPr>
        <w:rPr>
          <w:rFonts w:eastAsiaTheme="minorEastAsia"/>
        </w:rPr>
      </w:pPr>
      <w:r>
        <w:rPr>
          <w:rFonts w:eastAsiaTheme="minorEastAsia"/>
        </w:rPr>
        <w:t xml:space="preserve">Vienlaicīgi, uzsākot </w:t>
      </w:r>
      <w:proofErr w:type="spellStart"/>
      <w:r>
        <w:rPr>
          <w:rFonts w:eastAsiaTheme="minorEastAsia"/>
        </w:rPr>
        <w:t>izmēģinājumprojektu</w:t>
      </w:r>
      <w:proofErr w:type="spellEnd"/>
      <w:r>
        <w:rPr>
          <w:rFonts w:eastAsiaTheme="minorEastAsia"/>
        </w:rPr>
        <w:t xml:space="preserve"> jaunā iestādē, būs iespējams papildināt </w:t>
      </w:r>
      <w:r w:rsidR="00337645">
        <w:rPr>
          <w:rFonts w:eastAsiaTheme="minorEastAsia"/>
        </w:rPr>
        <w:t>ar papildu izvērtējamajiem kritērijiem, atbilstoši iestādes stratēģijai un tautsaimniecības un sabiedrības vajadzībām</w:t>
      </w:r>
      <w:r w:rsidR="005C50D3">
        <w:rPr>
          <w:rFonts w:eastAsiaTheme="minorEastAsia"/>
        </w:rPr>
        <w:t>.</w:t>
      </w:r>
      <w:r w:rsidR="003F17BF">
        <w:rPr>
          <w:rFonts w:eastAsiaTheme="minorEastAsia"/>
        </w:rPr>
        <w:t xml:space="preserve"> </w:t>
      </w:r>
    </w:p>
    <w:p w14:paraId="3E1C25C3" w14:textId="0200EAFE" w:rsidR="009D480A" w:rsidRDefault="009D480A" w:rsidP="00337645">
      <w:pPr>
        <w:rPr>
          <w:rFonts w:eastAsiaTheme="minorEastAsia"/>
        </w:rPr>
      </w:pPr>
      <w:r w:rsidRPr="000105CD">
        <w:rPr>
          <w:rFonts w:eastAsiaTheme="minorEastAsia"/>
        </w:rPr>
        <w:lastRenderedPageBreak/>
        <w:t xml:space="preserve">Lai gan ilgtermiņā pilotprojekta mērķis ir palielināt </w:t>
      </w:r>
      <w:r w:rsidR="003F24F1">
        <w:rPr>
          <w:rFonts w:eastAsiaTheme="minorEastAsia"/>
        </w:rPr>
        <w:t xml:space="preserve">stratēģiskās specializācijas </w:t>
      </w:r>
      <w:r w:rsidRPr="000105CD">
        <w:rPr>
          <w:rFonts w:eastAsiaTheme="minorEastAsia"/>
        </w:rPr>
        <w:t>absolventu skaitu, tā efektu pilnā apmērā</w:t>
      </w:r>
      <w:r>
        <w:rPr>
          <w:rFonts w:eastAsiaTheme="minorEastAsia"/>
        </w:rPr>
        <w:t xml:space="preserve"> </w:t>
      </w:r>
      <w:r w:rsidRPr="000105CD">
        <w:rPr>
          <w:rFonts w:eastAsiaTheme="minorEastAsia"/>
        </w:rPr>
        <w:t>varēs</w:t>
      </w:r>
      <w:r>
        <w:rPr>
          <w:rFonts w:eastAsiaTheme="minorEastAsia"/>
        </w:rPr>
        <w:t xml:space="preserve"> </w:t>
      </w:r>
      <w:r w:rsidRPr="000105CD">
        <w:rPr>
          <w:rFonts w:eastAsiaTheme="minorEastAsia"/>
        </w:rPr>
        <w:t xml:space="preserve">izvērtēt tikai pēc 4 </w:t>
      </w:r>
      <w:r>
        <w:rPr>
          <w:rFonts w:eastAsiaTheme="minorEastAsia"/>
        </w:rPr>
        <w:t xml:space="preserve">un vairākiem </w:t>
      </w:r>
      <w:r w:rsidRPr="000105CD">
        <w:rPr>
          <w:rFonts w:eastAsiaTheme="minorEastAsia"/>
        </w:rPr>
        <w:t>gadiem, jo vienas pamatstudiju programm</w:t>
      </w:r>
      <w:r>
        <w:rPr>
          <w:rFonts w:eastAsiaTheme="minorEastAsia"/>
        </w:rPr>
        <w:t>as</w:t>
      </w:r>
      <w:r w:rsidRPr="000105CD">
        <w:rPr>
          <w:rFonts w:eastAsiaTheme="minorEastAsia"/>
        </w:rPr>
        <w:t xml:space="preserve"> ilgums ir 3 līdz 4 gadi</w:t>
      </w:r>
      <w:r>
        <w:rPr>
          <w:rFonts w:eastAsiaTheme="minorEastAsia"/>
        </w:rPr>
        <w:t xml:space="preserve"> un tuvākajos gados studijas pabeigs jau šobrīd studējošie</w:t>
      </w:r>
      <w:r w:rsidRPr="000105CD">
        <w:rPr>
          <w:rFonts w:eastAsiaTheme="minorEastAsia"/>
        </w:rPr>
        <w:t xml:space="preserve">. Šī iemesla dēļ, IZM plāno vērtēt atbirumu no viena studiju gada uz otru. </w:t>
      </w:r>
      <w:r w:rsidRPr="00A25E14">
        <w:rPr>
          <w:rFonts w:eastAsiaTheme="minorEastAsia"/>
        </w:rPr>
        <w:t xml:space="preserve">Izvērtējums arī identificēs izaicinājumus un problēmas, kas radušies </w:t>
      </w:r>
      <w:proofErr w:type="spellStart"/>
      <w:r>
        <w:rPr>
          <w:rFonts w:eastAsiaTheme="minorEastAsia"/>
        </w:rPr>
        <w:t>izmēģinājumproj</w:t>
      </w:r>
      <w:r w:rsidRPr="00A25E14">
        <w:rPr>
          <w:rFonts w:eastAsiaTheme="minorEastAsia"/>
        </w:rPr>
        <w:t>ekta</w:t>
      </w:r>
      <w:proofErr w:type="spellEnd"/>
      <w:r w:rsidRPr="00A25E14">
        <w:rPr>
          <w:rFonts w:eastAsiaTheme="minorEastAsia"/>
        </w:rPr>
        <w:t xml:space="preserve"> laikā, kuras būtu jārisina</w:t>
      </w:r>
      <w:r>
        <w:rPr>
          <w:rFonts w:eastAsiaTheme="minorEastAsia"/>
        </w:rPr>
        <w:t>, ieviešot</w:t>
      </w:r>
      <w:r w:rsidRPr="00A25E14">
        <w:rPr>
          <w:rFonts w:eastAsiaTheme="minorEastAsia"/>
        </w:rPr>
        <w:t xml:space="preserve"> jauno modeli visām augstskolām. Izvērtējuma rezultāti tiks izmantoti, lai uzlabotu un pielāgotu jauno finansējuma modeli Latvijas augstākās izglītības vajadzībām.</w:t>
      </w:r>
    </w:p>
    <w:p w14:paraId="58E16C4D" w14:textId="30E9B48F" w:rsidR="009D480A" w:rsidRDefault="009D480A" w:rsidP="009D480A">
      <w:pPr>
        <w:rPr>
          <w:rFonts w:eastAsiaTheme="minorEastAsia"/>
        </w:rPr>
      </w:pPr>
      <w:r>
        <w:rPr>
          <w:rFonts w:eastAsiaTheme="minorEastAsia"/>
        </w:rPr>
        <w:t xml:space="preserve">Ņemot vērā studējošo tiesisko paļāvību un to, ka saskaņā ar Augstskolu likumu studiju līgumi tiek noslēgti uz visu studiju periodu, </w:t>
      </w:r>
      <w:proofErr w:type="spellStart"/>
      <w:r>
        <w:rPr>
          <w:rFonts w:eastAsiaTheme="minorEastAsia"/>
        </w:rPr>
        <w:t>izmēģinājumprojekta</w:t>
      </w:r>
      <w:proofErr w:type="spellEnd"/>
      <w:r>
        <w:rPr>
          <w:rFonts w:eastAsiaTheme="minorEastAsia"/>
        </w:rPr>
        <w:t xml:space="preserve"> jaunais augstākās izglītības finansēšanas modelis vispirms var tikt attiecināts tikai uz jaunuzņemtajiem studējošajiem. Ir plānots, ka sākot ar 2024. gad</w:t>
      </w:r>
      <w:r w:rsidR="00340907">
        <w:rPr>
          <w:rFonts w:eastAsiaTheme="minorEastAsia"/>
        </w:rPr>
        <w:t>a rudeni</w:t>
      </w:r>
      <w:r>
        <w:rPr>
          <w:rFonts w:eastAsiaTheme="minorEastAsia"/>
        </w:rPr>
        <w:t xml:space="preserve"> varētu sākt īstenot </w:t>
      </w:r>
      <w:proofErr w:type="spellStart"/>
      <w:r>
        <w:rPr>
          <w:rFonts w:eastAsiaTheme="minorEastAsia"/>
        </w:rPr>
        <w:t>izmēģinājumprojektu</w:t>
      </w:r>
      <w:proofErr w:type="spellEnd"/>
      <w:r>
        <w:rPr>
          <w:rFonts w:eastAsiaTheme="minorEastAsia"/>
        </w:rPr>
        <w:t xml:space="preserve">, pēc kā tiks grozīts normatīvais regulējums, lai ieviestu institucionālo finansējumu visā augstākās izglītības sistēmā. Pārejas posms ilgs vairākus gadus, kuru ietvaros </w:t>
      </w:r>
      <w:r w:rsidR="00B737D3">
        <w:rPr>
          <w:rFonts w:eastAsiaTheme="minorEastAsia"/>
        </w:rPr>
        <w:t>studējošie, kas uzsāka studijas pirms jauno finansēšanas principu ieviešanas, varēs pabeigt studijas saskaņā ar iepriekš spēkā bijušiem nosacījumiem</w:t>
      </w:r>
      <w:r>
        <w:rPr>
          <w:rFonts w:eastAsiaTheme="minorEastAsia"/>
        </w:rPr>
        <w:t xml:space="preserve">, kamēr tie sekmīgi progresē cauri studijām. Atbrīvojoties līdzekļiem, </w:t>
      </w:r>
      <w:r w:rsidR="00B737D3">
        <w:rPr>
          <w:rFonts w:eastAsiaTheme="minorEastAsia"/>
        </w:rPr>
        <w:t xml:space="preserve">augstskolas pieņems lēmumu par visu finansējumu kā par </w:t>
      </w:r>
      <w:r>
        <w:rPr>
          <w:rFonts w:eastAsiaTheme="minorEastAsia"/>
        </w:rPr>
        <w:t>institucionāl</w:t>
      </w:r>
      <w:r w:rsidR="00B737D3">
        <w:rPr>
          <w:rFonts w:eastAsiaTheme="minorEastAsia"/>
        </w:rPr>
        <w:t>o</w:t>
      </w:r>
      <w:r>
        <w:rPr>
          <w:rFonts w:eastAsiaTheme="minorEastAsia"/>
        </w:rPr>
        <w:t xml:space="preserve"> </w:t>
      </w:r>
      <w:r w:rsidR="00B737D3">
        <w:rPr>
          <w:rFonts w:eastAsiaTheme="minorEastAsia"/>
        </w:rPr>
        <w:t>finansējumu</w:t>
      </w:r>
      <w:r>
        <w:rPr>
          <w:rFonts w:eastAsiaTheme="minorEastAsia"/>
        </w:rPr>
        <w:t>.</w:t>
      </w:r>
    </w:p>
    <w:p w14:paraId="5B04A43B" w14:textId="21E5B4BB" w:rsidR="009D480A" w:rsidRPr="00452827" w:rsidRDefault="009D480A" w:rsidP="009D480A">
      <w:pPr>
        <w:rPr>
          <w:rFonts w:eastAsiaTheme="minorEastAsia"/>
        </w:rPr>
      </w:pPr>
      <w:r>
        <w:rPr>
          <w:rFonts w:eastAsiaTheme="minorEastAsia"/>
        </w:rPr>
        <w:t xml:space="preserve">Papildus iepriekš norādītiem </w:t>
      </w:r>
      <w:r w:rsidR="00AB2228">
        <w:rPr>
          <w:rFonts w:eastAsiaTheme="minorEastAsia"/>
        </w:rPr>
        <w:t>pamatkritērijam un papildu kritērijiem</w:t>
      </w:r>
      <w:r>
        <w:rPr>
          <w:rFonts w:eastAsiaTheme="minorEastAsia"/>
        </w:rPr>
        <w:t xml:space="preserve">, Ministru kabinets lēmumu par iekļaušanos </w:t>
      </w:r>
      <w:proofErr w:type="spellStart"/>
      <w:r>
        <w:rPr>
          <w:rFonts w:eastAsiaTheme="minorEastAsia"/>
        </w:rPr>
        <w:t>izmēģinājumprojektā</w:t>
      </w:r>
      <w:proofErr w:type="spellEnd"/>
      <w:r>
        <w:rPr>
          <w:rFonts w:eastAsiaTheme="minorEastAsia"/>
        </w:rPr>
        <w:t xml:space="preserve"> pieņems balstoties uz šādiem principiem:</w:t>
      </w:r>
    </w:p>
    <w:p w14:paraId="5C1D589A" w14:textId="77777777" w:rsidR="009D480A" w:rsidRPr="00452827" w:rsidRDefault="009D480A" w:rsidP="009D480A">
      <w:pPr>
        <w:pStyle w:val="ListParagraph"/>
        <w:numPr>
          <w:ilvl w:val="0"/>
          <w:numId w:val="19"/>
        </w:numPr>
        <w:rPr>
          <w:rFonts w:asciiTheme="minorHAnsi" w:eastAsiaTheme="minorEastAsia" w:hAnsiTheme="minorHAnsi" w:cstheme="minorHAnsi"/>
          <w:sz w:val="24"/>
          <w:szCs w:val="36"/>
        </w:rPr>
      </w:pPr>
      <w:r w:rsidRPr="00452827">
        <w:rPr>
          <w:rFonts w:asciiTheme="minorHAnsi" w:eastAsiaTheme="minorEastAsia" w:hAnsiTheme="minorHAnsi" w:cstheme="minorHAnsi"/>
          <w:sz w:val="24"/>
          <w:szCs w:val="36"/>
        </w:rPr>
        <w:t>augstskolas attīstības stratēģija noteiktie mērķi un sasniedzamie rezultāti un to īstenošanai nepieciešamā rīcība;</w:t>
      </w:r>
    </w:p>
    <w:p w14:paraId="6CDCFEBC" w14:textId="77777777" w:rsidR="009D480A" w:rsidRPr="00452827" w:rsidRDefault="009D480A" w:rsidP="009D480A">
      <w:pPr>
        <w:pStyle w:val="ListParagraph"/>
        <w:numPr>
          <w:ilvl w:val="0"/>
          <w:numId w:val="19"/>
        </w:numPr>
        <w:rPr>
          <w:rFonts w:asciiTheme="minorHAnsi" w:eastAsiaTheme="minorEastAsia" w:hAnsiTheme="minorHAnsi" w:cstheme="minorHAnsi"/>
          <w:sz w:val="24"/>
          <w:szCs w:val="36"/>
        </w:rPr>
      </w:pPr>
      <w:r w:rsidRPr="00452827">
        <w:rPr>
          <w:rFonts w:asciiTheme="minorHAnsi" w:eastAsiaTheme="minorEastAsia" w:hAnsiTheme="minorHAnsi" w:cstheme="minorHAnsi"/>
          <w:sz w:val="24"/>
          <w:szCs w:val="36"/>
        </w:rPr>
        <w:t xml:space="preserve">pašas augstskolas gatavība īstenot </w:t>
      </w:r>
      <w:proofErr w:type="spellStart"/>
      <w:r>
        <w:rPr>
          <w:rFonts w:asciiTheme="minorHAnsi" w:eastAsiaTheme="minorEastAsia" w:hAnsiTheme="minorHAnsi" w:cstheme="minorHAnsi"/>
          <w:sz w:val="24"/>
          <w:szCs w:val="36"/>
        </w:rPr>
        <w:t>izmēģinājumprojektu</w:t>
      </w:r>
      <w:proofErr w:type="spellEnd"/>
      <w:r w:rsidRPr="00452827">
        <w:rPr>
          <w:rFonts w:asciiTheme="minorHAnsi" w:eastAsiaTheme="minorEastAsia" w:hAnsiTheme="minorHAnsi" w:cstheme="minorHAnsi"/>
          <w:sz w:val="24"/>
          <w:szCs w:val="36"/>
        </w:rPr>
        <w:t>, ko apliecina gan augstskolas padomes spēja īstenot nepieciešamās stratēģiskās pārmaiņas, gan vai to risināšanai esošajā Augstskolu likuma  51., 52., 78. panti ir šķērslis;</w:t>
      </w:r>
    </w:p>
    <w:p w14:paraId="7525569F" w14:textId="77777777" w:rsidR="009D480A" w:rsidRPr="00452827" w:rsidRDefault="009D480A" w:rsidP="009D480A">
      <w:pPr>
        <w:pStyle w:val="ListParagraph"/>
        <w:numPr>
          <w:ilvl w:val="0"/>
          <w:numId w:val="19"/>
        </w:numPr>
        <w:rPr>
          <w:rFonts w:asciiTheme="minorHAnsi" w:eastAsiaTheme="minorEastAsia" w:hAnsiTheme="minorHAnsi" w:cstheme="minorHAnsi"/>
          <w:sz w:val="24"/>
          <w:szCs w:val="36"/>
        </w:rPr>
      </w:pPr>
      <w:r w:rsidRPr="00452827">
        <w:rPr>
          <w:rFonts w:asciiTheme="minorHAnsi" w:eastAsiaTheme="minorEastAsia" w:hAnsiTheme="minorHAnsi" w:cstheme="minorHAnsi"/>
          <w:sz w:val="24"/>
          <w:szCs w:val="36"/>
        </w:rPr>
        <w:t>Izglītības un zinātnes ministrijas iegūtā pārliecība par augstskolas padomes stratēģisko redzējumu, spēju un pamatojumu īstenot</w:t>
      </w:r>
      <w:r>
        <w:rPr>
          <w:rFonts w:asciiTheme="minorHAnsi" w:eastAsiaTheme="minorEastAsia" w:hAnsiTheme="minorHAnsi" w:cstheme="minorHAnsi"/>
          <w:sz w:val="24"/>
          <w:szCs w:val="36"/>
        </w:rPr>
        <w:t xml:space="preserve"> </w:t>
      </w:r>
      <w:proofErr w:type="spellStart"/>
      <w:r>
        <w:rPr>
          <w:rFonts w:asciiTheme="minorHAnsi" w:eastAsiaTheme="minorEastAsia" w:hAnsiTheme="minorHAnsi" w:cstheme="minorHAnsi"/>
          <w:sz w:val="24"/>
          <w:szCs w:val="36"/>
        </w:rPr>
        <w:t>izmēģinājumprojektu</w:t>
      </w:r>
      <w:proofErr w:type="spellEnd"/>
      <w:r w:rsidRPr="00452827">
        <w:rPr>
          <w:rFonts w:asciiTheme="minorHAnsi" w:eastAsiaTheme="minorEastAsia" w:hAnsiTheme="minorHAnsi" w:cstheme="minorHAnsi"/>
          <w:sz w:val="24"/>
          <w:szCs w:val="36"/>
        </w:rPr>
        <w:t>;</w:t>
      </w:r>
    </w:p>
    <w:p w14:paraId="34791A5B" w14:textId="77777777" w:rsidR="009D480A" w:rsidRPr="00452827" w:rsidRDefault="009D480A" w:rsidP="009D480A">
      <w:pPr>
        <w:pStyle w:val="ListParagraph"/>
        <w:numPr>
          <w:ilvl w:val="0"/>
          <w:numId w:val="19"/>
        </w:numPr>
        <w:rPr>
          <w:rFonts w:asciiTheme="minorHAnsi" w:eastAsiaTheme="minorEastAsia" w:hAnsiTheme="minorHAnsi" w:cstheme="minorHAnsi"/>
          <w:sz w:val="24"/>
          <w:szCs w:val="36"/>
        </w:rPr>
      </w:pPr>
      <w:r w:rsidRPr="00452827">
        <w:rPr>
          <w:rFonts w:asciiTheme="minorHAnsi" w:eastAsiaTheme="minorEastAsia" w:hAnsiTheme="minorHAnsi" w:cstheme="minorHAnsi"/>
          <w:sz w:val="24"/>
          <w:szCs w:val="36"/>
        </w:rPr>
        <w:t>tām augstskolām, kuras ir citu ministriju pārziņā – konkrētās nozares ministrijas (Veselības ministrijas, Zemkopības ministrijas, Kultūras ministrijas) redzējums un pārliecība par augstskolas sasniedzamiem rezultātiem, gatavību un lietderību ieviest</w:t>
      </w:r>
      <w:r>
        <w:rPr>
          <w:rFonts w:asciiTheme="minorHAnsi" w:eastAsiaTheme="minorEastAsia" w:hAnsiTheme="minorHAnsi" w:cstheme="minorHAnsi"/>
          <w:sz w:val="24"/>
          <w:szCs w:val="36"/>
        </w:rPr>
        <w:t xml:space="preserve"> </w:t>
      </w:r>
      <w:proofErr w:type="spellStart"/>
      <w:r>
        <w:rPr>
          <w:rFonts w:asciiTheme="minorHAnsi" w:eastAsiaTheme="minorEastAsia" w:hAnsiTheme="minorHAnsi" w:cstheme="minorHAnsi"/>
          <w:sz w:val="24"/>
          <w:szCs w:val="36"/>
        </w:rPr>
        <w:t>izmēģinājumprojektu</w:t>
      </w:r>
      <w:proofErr w:type="spellEnd"/>
      <w:r w:rsidRPr="00452827">
        <w:rPr>
          <w:rFonts w:asciiTheme="minorHAnsi" w:eastAsiaTheme="minorEastAsia" w:hAnsiTheme="minorHAnsi" w:cstheme="minorHAnsi"/>
          <w:sz w:val="24"/>
          <w:szCs w:val="36"/>
        </w:rPr>
        <w:t>;</w:t>
      </w:r>
    </w:p>
    <w:p w14:paraId="24F4F3FF" w14:textId="77777777" w:rsidR="009D480A" w:rsidRPr="00452827" w:rsidRDefault="009D480A" w:rsidP="009D480A">
      <w:pPr>
        <w:pStyle w:val="ListParagraph"/>
        <w:numPr>
          <w:ilvl w:val="0"/>
          <w:numId w:val="19"/>
        </w:numPr>
        <w:rPr>
          <w:rFonts w:asciiTheme="minorHAnsi" w:eastAsiaTheme="minorEastAsia" w:hAnsiTheme="minorHAnsi" w:cstheme="minorHAnsi"/>
          <w:sz w:val="24"/>
          <w:szCs w:val="36"/>
        </w:rPr>
      </w:pPr>
      <w:r w:rsidRPr="00452827">
        <w:rPr>
          <w:rFonts w:asciiTheme="minorHAnsi" w:eastAsiaTheme="minorEastAsia" w:hAnsiTheme="minorHAnsi" w:cstheme="minorHAnsi"/>
          <w:sz w:val="24"/>
          <w:szCs w:val="36"/>
        </w:rPr>
        <w:t>vai institucionālā finansējuma</w:t>
      </w:r>
      <w:r>
        <w:rPr>
          <w:rFonts w:asciiTheme="minorHAnsi" w:eastAsiaTheme="minorEastAsia" w:hAnsiTheme="minorHAnsi" w:cstheme="minorHAnsi"/>
          <w:sz w:val="24"/>
          <w:szCs w:val="36"/>
        </w:rPr>
        <w:t xml:space="preserve"> </w:t>
      </w:r>
      <w:proofErr w:type="spellStart"/>
      <w:r>
        <w:rPr>
          <w:rFonts w:asciiTheme="minorHAnsi" w:eastAsiaTheme="minorEastAsia" w:hAnsiTheme="minorHAnsi" w:cstheme="minorHAnsi"/>
          <w:sz w:val="24"/>
          <w:szCs w:val="36"/>
        </w:rPr>
        <w:t>izmēģinājumprojekts</w:t>
      </w:r>
      <w:proofErr w:type="spellEnd"/>
      <w:r w:rsidRPr="00452827">
        <w:rPr>
          <w:rFonts w:asciiTheme="minorHAnsi" w:eastAsiaTheme="minorEastAsia" w:hAnsiTheme="minorHAnsi" w:cstheme="minorHAnsi"/>
          <w:sz w:val="24"/>
          <w:szCs w:val="36"/>
        </w:rPr>
        <w:t xml:space="preserve"> ir ieviešams esošā budžeta ietvaros, vai arī tam kā obligāts priekšnoteikums ir papildu investīcijas, tādā gadījumā jautājums ir skatāms kopā ar vidējā termiņa budžeta iespējām. </w:t>
      </w:r>
    </w:p>
    <w:p w14:paraId="6441366E" w14:textId="77777777" w:rsidR="009D480A" w:rsidRPr="00447370" w:rsidRDefault="009D480A" w:rsidP="009E7C9F">
      <w:pPr>
        <w:ind w:firstLine="0"/>
      </w:pPr>
    </w:p>
    <w:p w14:paraId="34D20E07" w14:textId="4E703F96" w:rsidR="009D480A" w:rsidRDefault="009E7C9F" w:rsidP="009D480A">
      <w:r>
        <w:t xml:space="preserve">Sekmīgai </w:t>
      </w:r>
      <w:proofErr w:type="spellStart"/>
      <w:r>
        <w:t>izmēģinājumprojekta</w:t>
      </w:r>
      <w:proofErr w:type="spellEnd"/>
      <w:r>
        <w:t xml:space="preserve"> norisei, būtu jānodrošina iestādei finanšu atbalsts, kas ļautu veidot </w:t>
      </w:r>
      <w:r w:rsidR="00D201E4">
        <w:t xml:space="preserve">stabilāku finanšu plūsmu un pārorientēties uz izteiktāku savas stratēģiskās specializācijas īstenošanu. Lai šo panāktu, būtu jānodrošina iestāde ar </w:t>
      </w:r>
      <w:r w:rsidR="0032135C">
        <w:t xml:space="preserve">papildu finansējumu akadēmiskā personāla nodrošināšanai savos stratēģiskās specializācijas virzienos. Pāreja uz institucionālo finansējumu, ņemot vērā tiesisko paļāvību, notiks vairāku gadu garumā, kamēr absolvēs </w:t>
      </w:r>
      <w:r w:rsidR="00E901CC">
        <w:t xml:space="preserve">jau esošie studējošie. Tomēr stratēģiskās specializācijas attīstībai un stiprināšana ir nepieciešams specializētais akadēmiskais personāls, kas </w:t>
      </w:r>
      <w:r w:rsidR="00521534">
        <w:t xml:space="preserve">izmaksas radīs uzreiz. </w:t>
      </w:r>
    </w:p>
    <w:p w14:paraId="0A620583" w14:textId="695F73FA" w:rsidR="009C112A" w:rsidRDefault="00521534" w:rsidP="009D480A">
      <w:r>
        <w:lastRenderedPageBreak/>
        <w:t>Ņemot vērā nepieciešamību nodrošināt akadēmisko personālu, katrai iestādei, kas vēlas pāriet uz institucionālo finansējumu optimālā gadījumā būtu jānodrošina ar</w:t>
      </w:r>
      <w:r w:rsidR="00F35E0C">
        <w:t xml:space="preserve"> finansējumu, kas būtu vienāds ar </w:t>
      </w:r>
      <w:r>
        <w:t xml:space="preserve"> </w:t>
      </w:r>
      <w:r w:rsidR="00F35E0C">
        <w:t xml:space="preserve">vismaz vienu akadēmiskā personāla “komplektu”, kas sniegtu iespējas </w:t>
      </w:r>
      <w:r w:rsidR="009E00D2">
        <w:t xml:space="preserve">veikt ieguldījumus stratēģiskās specializācijas attīstība. </w:t>
      </w:r>
      <w:r w:rsidR="00B83B7A">
        <w:t>“Komplektu”</w:t>
      </w:r>
      <w:r w:rsidR="00587A9D">
        <w:t xml:space="preserve"> skaits būtu nosakāms kā viens “komplekts”</w:t>
      </w:r>
      <w:r w:rsidR="00D00B65">
        <w:t xml:space="preserve"> </w:t>
      </w:r>
      <w:r w:rsidR="00587A9D">
        <w:t>uz katriem 1’000 studējošajiem, bet arī ņemot vērā pieejamo finansējumu.</w:t>
      </w:r>
    </w:p>
    <w:p w14:paraId="234A7098" w14:textId="61B8A1ED" w:rsidR="008E29D8" w:rsidRPr="008E29D8" w:rsidRDefault="008E29D8" w:rsidP="008E29D8">
      <w:pPr>
        <w:pStyle w:val="ListParagraph"/>
        <w:jc w:val="right"/>
        <w:rPr>
          <w:rFonts w:asciiTheme="minorHAnsi" w:hAnsiTheme="minorHAnsi"/>
          <w:sz w:val="24"/>
        </w:rPr>
      </w:pPr>
      <w:r>
        <w:rPr>
          <w:rFonts w:asciiTheme="minorHAnsi" w:hAnsiTheme="minorHAnsi"/>
          <w:sz w:val="24"/>
        </w:rPr>
        <w:t>6</w:t>
      </w:r>
      <w:r w:rsidRPr="00980FA5">
        <w:rPr>
          <w:rFonts w:asciiTheme="minorHAnsi" w:hAnsiTheme="minorHAnsi"/>
          <w:sz w:val="24"/>
        </w:rPr>
        <w:t>.</w:t>
      </w:r>
      <w:r>
        <w:rPr>
          <w:rFonts w:asciiTheme="minorHAnsi" w:hAnsiTheme="minorHAnsi"/>
          <w:sz w:val="24"/>
        </w:rPr>
        <w:t xml:space="preserve"> tabula</w:t>
      </w:r>
      <w:r w:rsidRPr="00980FA5">
        <w:rPr>
          <w:rFonts w:asciiTheme="minorHAnsi" w:hAnsiTheme="minorHAnsi"/>
          <w:sz w:val="24"/>
        </w:rPr>
        <w:t>:</w:t>
      </w:r>
      <w:r w:rsidR="00587A9D">
        <w:rPr>
          <w:rFonts w:asciiTheme="minorHAnsi" w:hAnsiTheme="minorHAnsi"/>
          <w:sz w:val="24"/>
        </w:rPr>
        <w:t xml:space="preserve"> Indikatīvās</w:t>
      </w:r>
      <w:r w:rsidRPr="00980FA5">
        <w:rPr>
          <w:rFonts w:asciiTheme="minorHAnsi" w:hAnsiTheme="minorHAnsi"/>
          <w:sz w:val="24"/>
        </w:rPr>
        <w:t xml:space="preserve"> </w:t>
      </w:r>
      <w:proofErr w:type="spellStart"/>
      <w:r w:rsidR="00587A9D">
        <w:rPr>
          <w:rFonts w:asciiTheme="minorHAnsi" w:hAnsiTheme="minorHAnsi"/>
          <w:sz w:val="24"/>
        </w:rPr>
        <w:t>i</w:t>
      </w:r>
      <w:r>
        <w:rPr>
          <w:rFonts w:asciiTheme="minorHAnsi" w:hAnsiTheme="minorHAnsi"/>
          <w:sz w:val="24"/>
        </w:rPr>
        <w:t>zmēģinājumprojekta</w:t>
      </w:r>
      <w:proofErr w:type="spellEnd"/>
      <w:r>
        <w:rPr>
          <w:rFonts w:asciiTheme="minorHAnsi" w:hAnsiTheme="minorHAnsi"/>
          <w:sz w:val="24"/>
        </w:rPr>
        <w:t xml:space="preserve"> izmaksas atbilstoši iest</w:t>
      </w:r>
      <w:r w:rsidR="005419CE">
        <w:rPr>
          <w:rFonts w:asciiTheme="minorHAnsi" w:hAnsiTheme="minorHAnsi"/>
          <w:sz w:val="24"/>
        </w:rPr>
        <w:t>ādes izmēram</w:t>
      </w:r>
    </w:p>
    <w:tbl>
      <w:tblPr>
        <w:tblStyle w:val="TableGrid"/>
        <w:tblW w:w="5000" w:type="pct"/>
        <w:tblLook w:val="04A0" w:firstRow="1" w:lastRow="0" w:firstColumn="1" w:lastColumn="0" w:noHBand="0" w:noVBand="1"/>
      </w:tblPr>
      <w:tblGrid>
        <w:gridCol w:w="4532"/>
        <w:gridCol w:w="2267"/>
        <w:gridCol w:w="2121"/>
      </w:tblGrid>
      <w:tr w:rsidR="009C112A" w:rsidRPr="002A7D65" w14:paraId="6E12B57B" w14:textId="77777777" w:rsidTr="009C112A">
        <w:trPr>
          <w:tblHeader/>
        </w:trPr>
        <w:tc>
          <w:tcPr>
            <w:tcW w:w="2540" w:type="pct"/>
            <w:shd w:val="clear" w:color="auto" w:fill="7030A0"/>
          </w:tcPr>
          <w:p w14:paraId="2BC31737" w14:textId="77777777" w:rsidR="009C112A" w:rsidRPr="002A7D65" w:rsidRDefault="009C112A" w:rsidP="00407A22">
            <w:pPr>
              <w:ind w:firstLine="0"/>
              <w:jc w:val="center"/>
              <w:rPr>
                <w:b/>
                <w:color w:val="FFFFFF" w:themeColor="background1"/>
              </w:rPr>
            </w:pPr>
            <w:r w:rsidRPr="002A7D65">
              <w:rPr>
                <w:b/>
                <w:color w:val="FFFFFF" w:themeColor="background1"/>
              </w:rPr>
              <w:t>Pozīcija</w:t>
            </w:r>
          </w:p>
          <w:p w14:paraId="765E651B" w14:textId="77777777" w:rsidR="009C112A" w:rsidRPr="002A7D65" w:rsidRDefault="009C112A" w:rsidP="00407A22">
            <w:pPr>
              <w:ind w:firstLine="0"/>
              <w:jc w:val="center"/>
              <w:rPr>
                <w:b/>
                <w:color w:val="FFFFFF" w:themeColor="background1"/>
              </w:rPr>
            </w:pPr>
          </w:p>
        </w:tc>
        <w:tc>
          <w:tcPr>
            <w:tcW w:w="1271" w:type="pct"/>
            <w:shd w:val="clear" w:color="auto" w:fill="7030A0"/>
          </w:tcPr>
          <w:p w14:paraId="1E59ABA1" w14:textId="537BC043" w:rsidR="009C112A" w:rsidRPr="00FE0877" w:rsidRDefault="009C112A" w:rsidP="00407A22">
            <w:pPr>
              <w:ind w:firstLine="0"/>
              <w:jc w:val="center"/>
              <w:rPr>
                <w:b/>
                <w:color w:val="FFFFFF" w:themeColor="background1"/>
              </w:rPr>
            </w:pPr>
            <w:r w:rsidRPr="00FE0877">
              <w:rPr>
                <w:b/>
                <w:color w:val="FFFFFF" w:themeColor="background1"/>
              </w:rPr>
              <w:t>“Komplekti”</w:t>
            </w:r>
          </w:p>
        </w:tc>
        <w:tc>
          <w:tcPr>
            <w:tcW w:w="1189" w:type="pct"/>
            <w:shd w:val="clear" w:color="auto" w:fill="7030A0"/>
          </w:tcPr>
          <w:p w14:paraId="711A0BD6" w14:textId="7F9D66FE" w:rsidR="009C112A" w:rsidRPr="00FE0877" w:rsidRDefault="009C112A" w:rsidP="00407A22">
            <w:pPr>
              <w:ind w:firstLine="0"/>
              <w:rPr>
                <w:b/>
                <w:color w:val="FFFFFF" w:themeColor="background1"/>
              </w:rPr>
            </w:pPr>
            <w:r w:rsidRPr="00FE0877">
              <w:rPr>
                <w:b/>
                <w:color w:val="FFFFFF" w:themeColor="background1"/>
              </w:rPr>
              <w:t>Summa gadā</w:t>
            </w:r>
          </w:p>
        </w:tc>
      </w:tr>
      <w:tr w:rsidR="0010278A" w:rsidRPr="002A7D65" w14:paraId="7FF83305" w14:textId="77777777" w:rsidTr="00883FC1">
        <w:tc>
          <w:tcPr>
            <w:tcW w:w="2540" w:type="pct"/>
            <w:tcBorders>
              <w:top w:val="single" w:sz="4" w:space="0" w:color="auto"/>
              <w:bottom w:val="single" w:sz="4" w:space="0" w:color="auto"/>
              <w:right w:val="single" w:sz="4" w:space="0" w:color="auto"/>
            </w:tcBorders>
            <w:vAlign w:val="bottom"/>
          </w:tcPr>
          <w:p w14:paraId="1D91A779" w14:textId="42E5401F" w:rsidR="0010278A" w:rsidRDefault="0010278A" w:rsidP="0010278A">
            <w:pPr>
              <w:ind w:firstLine="0"/>
              <w:jc w:val="left"/>
              <w:rPr>
                <w:rFonts w:ascii="Calibri" w:hAnsi="Calibri"/>
                <w:color w:val="000000"/>
                <w:sz w:val="22"/>
                <w:szCs w:val="22"/>
              </w:rPr>
            </w:pPr>
            <w:r>
              <w:rPr>
                <w:rFonts w:ascii="Calibri" w:hAnsi="Calibri"/>
                <w:color w:val="000000"/>
                <w:sz w:val="22"/>
                <w:szCs w:val="22"/>
              </w:rPr>
              <w:t>LU + BA</w:t>
            </w:r>
          </w:p>
        </w:tc>
        <w:tc>
          <w:tcPr>
            <w:tcW w:w="1271" w:type="pct"/>
            <w:tcBorders>
              <w:top w:val="single" w:sz="4" w:space="0" w:color="auto"/>
              <w:left w:val="single" w:sz="4" w:space="0" w:color="auto"/>
              <w:bottom w:val="single" w:sz="4" w:space="0" w:color="auto"/>
              <w:right w:val="single" w:sz="4" w:space="0" w:color="auto"/>
            </w:tcBorders>
            <w:shd w:val="clear" w:color="auto" w:fill="auto"/>
            <w:vAlign w:val="bottom"/>
          </w:tcPr>
          <w:p w14:paraId="77D281DA" w14:textId="6FD9C970" w:rsidR="0010278A" w:rsidRPr="00FE0877" w:rsidRDefault="0010278A" w:rsidP="0010278A">
            <w:pPr>
              <w:ind w:firstLine="0"/>
              <w:jc w:val="center"/>
              <w:rPr>
                <w:rFonts w:ascii="Calibri" w:hAnsi="Calibri"/>
                <w:color w:val="000000"/>
                <w:sz w:val="22"/>
                <w:szCs w:val="22"/>
              </w:rPr>
            </w:pPr>
            <w:r w:rsidRPr="00FE0877">
              <w:rPr>
                <w:rFonts w:ascii="Calibri" w:hAnsi="Calibri"/>
                <w:color w:val="000000"/>
                <w:sz w:val="22"/>
                <w:szCs w:val="22"/>
              </w:rPr>
              <w:t xml:space="preserve">                                    17 </w:t>
            </w:r>
          </w:p>
        </w:tc>
        <w:tc>
          <w:tcPr>
            <w:tcW w:w="1189" w:type="pct"/>
            <w:tcBorders>
              <w:top w:val="single" w:sz="4" w:space="0" w:color="auto"/>
              <w:left w:val="single" w:sz="4" w:space="0" w:color="auto"/>
              <w:bottom w:val="single" w:sz="4" w:space="0" w:color="auto"/>
              <w:right w:val="single" w:sz="4" w:space="0" w:color="auto"/>
            </w:tcBorders>
            <w:shd w:val="clear" w:color="auto" w:fill="auto"/>
          </w:tcPr>
          <w:p w14:paraId="61CC918A" w14:textId="1111C846" w:rsidR="0010278A" w:rsidRPr="00FE0877" w:rsidRDefault="0010278A" w:rsidP="0010278A">
            <w:pPr>
              <w:ind w:firstLine="0"/>
              <w:jc w:val="right"/>
            </w:pPr>
            <w:r w:rsidRPr="00FE0877">
              <w:t xml:space="preserve"> 11 360 572 </w:t>
            </w:r>
          </w:p>
        </w:tc>
      </w:tr>
      <w:tr w:rsidR="0010278A" w:rsidRPr="002A7D65" w14:paraId="31F6A47D" w14:textId="77777777" w:rsidTr="00883FC1">
        <w:tc>
          <w:tcPr>
            <w:tcW w:w="2540" w:type="pct"/>
            <w:tcBorders>
              <w:top w:val="single" w:sz="4" w:space="0" w:color="auto"/>
              <w:bottom w:val="single" w:sz="4" w:space="0" w:color="auto"/>
              <w:right w:val="single" w:sz="4" w:space="0" w:color="auto"/>
            </w:tcBorders>
            <w:vAlign w:val="bottom"/>
          </w:tcPr>
          <w:p w14:paraId="07453442" w14:textId="31C95D97" w:rsidR="0010278A" w:rsidRPr="002A7D65" w:rsidRDefault="0010278A" w:rsidP="0010278A">
            <w:pPr>
              <w:ind w:firstLine="0"/>
              <w:jc w:val="left"/>
            </w:pPr>
            <w:r>
              <w:rPr>
                <w:rFonts w:ascii="Calibri" w:hAnsi="Calibri"/>
                <w:color w:val="000000"/>
                <w:sz w:val="22"/>
                <w:szCs w:val="22"/>
              </w:rPr>
              <w:t xml:space="preserve">RTU + </w:t>
            </w:r>
            <w:proofErr w:type="spellStart"/>
            <w:r>
              <w:rPr>
                <w:rFonts w:ascii="Calibri" w:hAnsi="Calibri"/>
                <w:color w:val="000000"/>
                <w:sz w:val="22"/>
                <w:szCs w:val="22"/>
              </w:rPr>
              <w:t>LiepU</w:t>
            </w:r>
            <w:proofErr w:type="spellEnd"/>
            <w:r>
              <w:rPr>
                <w:rFonts w:ascii="Calibri" w:hAnsi="Calibri"/>
                <w:color w:val="000000"/>
                <w:sz w:val="22"/>
                <w:szCs w:val="22"/>
              </w:rPr>
              <w:t xml:space="preserve"> + RTA</w:t>
            </w:r>
          </w:p>
        </w:tc>
        <w:tc>
          <w:tcPr>
            <w:tcW w:w="1271" w:type="pct"/>
            <w:tcBorders>
              <w:top w:val="single" w:sz="4" w:space="0" w:color="auto"/>
              <w:left w:val="single" w:sz="4" w:space="0" w:color="auto"/>
              <w:bottom w:val="single" w:sz="4" w:space="0" w:color="auto"/>
              <w:right w:val="single" w:sz="4" w:space="0" w:color="auto"/>
            </w:tcBorders>
            <w:shd w:val="clear" w:color="auto" w:fill="auto"/>
            <w:vAlign w:val="bottom"/>
          </w:tcPr>
          <w:p w14:paraId="04F286D8" w14:textId="6B088B83" w:rsidR="0010278A" w:rsidRPr="00FE0877" w:rsidRDefault="0010278A" w:rsidP="0010278A">
            <w:pPr>
              <w:ind w:firstLine="0"/>
              <w:jc w:val="center"/>
              <w:rPr>
                <w:b/>
                <w:bCs/>
                <w:color w:val="000000"/>
                <w:sz w:val="20"/>
                <w:szCs w:val="20"/>
              </w:rPr>
            </w:pPr>
            <w:r w:rsidRPr="00FE0877">
              <w:rPr>
                <w:rFonts w:ascii="Calibri" w:hAnsi="Calibri"/>
                <w:color w:val="000000"/>
                <w:sz w:val="22"/>
                <w:szCs w:val="22"/>
              </w:rPr>
              <w:t xml:space="preserve">                                    16 </w:t>
            </w:r>
          </w:p>
        </w:tc>
        <w:tc>
          <w:tcPr>
            <w:tcW w:w="1189" w:type="pct"/>
            <w:tcBorders>
              <w:top w:val="single" w:sz="4" w:space="0" w:color="auto"/>
              <w:left w:val="single" w:sz="4" w:space="0" w:color="auto"/>
              <w:bottom w:val="single" w:sz="4" w:space="0" w:color="auto"/>
              <w:right w:val="single" w:sz="4" w:space="0" w:color="auto"/>
            </w:tcBorders>
            <w:shd w:val="clear" w:color="auto" w:fill="auto"/>
          </w:tcPr>
          <w:p w14:paraId="672BCF27" w14:textId="4906E1D8" w:rsidR="0010278A" w:rsidRPr="00FE0877" w:rsidRDefault="0010278A" w:rsidP="0010278A">
            <w:pPr>
              <w:ind w:firstLine="0"/>
              <w:jc w:val="right"/>
              <w:rPr>
                <w:b/>
                <w:bCs/>
                <w:color w:val="000000"/>
                <w:sz w:val="20"/>
                <w:szCs w:val="20"/>
              </w:rPr>
            </w:pPr>
            <w:r w:rsidRPr="00FE0877">
              <w:t xml:space="preserve"> 10 692 303 </w:t>
            </w:r>
          </w:p>
        </w:tc>
      </w:tr>
      <w:tr w:rsidR="0010278A" w:rsidRPr="002A7D65" w14:paraId="0EA6C239" w14:textId="77777777" w:rsidTr="00883FC1">
        <w:tc>
          <w:tcPr>
            <w:tcW w:w="2540" w:type="pct"/>
            <w:tcBorders>
              <w:top w:val="single" w:sz="4" w:space="0" w:color="auto"/>
              <w:bottom w:val="single" w:sz="4" w:space="0" w:color="auto"/>
              <w:right w:val="single" w:sz="4" w:space="0" w:color="auto"/>
            </w:tcBorders>
            <w:vAlign w:val="bottom"/>
          </w:tcPr>
          <w:p w14:paraId="5E11292C" w14:textId="5AF322FD" w:rsidR="0010278A" w:rsidRPr="002A7D65" w:rsidRDefault="0010278A" w:rsidP="0010278A">
            <w:pPr>
              <w:ind w:firstLine="0"/>
              <w:jc w:val="left"/>
              <w:rPr>
                <w:i/>
                <w:iCs/>
              </w:rPr>
            </w:pPr>
            <w:r>
              <w:rPr>
                <w:rFonts w:ascii="Calibri" w:hAnsi="Calibri"/>
                <w:color w:val="000000"/>
                <w:sz w:val="22"/>
                <w:szCs w:val="22"/>
              </w:rPr>
              <w:t>RSU + LSPA</w:t>
            </w:r>
          </w:p>
        </w:tc>
        <w:tc>
          <w:tcPr>
            <w:tcW w:w="1271" w:type="pct"/>
            <w:tcBorders>
              <w:top w:val="single" w:sz="4" w:space="0" w:color="auto"/>
              <w:left w:val="single" w:sz="4" w:space="0" w:color="auto"/>
              <w:bottom w:val="single" w:sz="4" w:space="0" w:color="auto"/>
              <w:right w:val="single" w:sz="4" w:space="0" w:color="auto"/>
            </w:tcBorders>
            <w:shd w:val="clear" w:color="auto" w:fill="auto"/>
            <w:vAlign w:val="bottom"/>
          </w:tcPr>
          <w:p w14:paraId="53656E0D" w14:textId="57F5A376" w:rsidR="0010278A" w:rsidRPr="00FE0877" w:rsidRDefault="0010278A" w:rsidP="0010278A">
            <w:pPr>
              <w:ind w:firstLine="0"/>
              <w:jc w:val="right"/>
              <w:rPr>
                <w:i/>
                <w:iCs/>
                <w:color w:val="000000"/>
              </w:rPr>
            </w:pPr>
            <w:r w:rsidRPr="00FE0877">
              <w:rPr>
                <w:rFonts w:ascii="Calibri" w:hAnsi="Calibri"/>
                <w:color w:val="000000"/>
                <w:sz w:val="22"/>
                <w:szCs w:val="22"/>
              </w:rPr>
              <w:t xml:space="preserve">                                    10 </w:t>
            </w:r>
          </w:p>
        </w:tc>
        <w:tc>
          <w:tcPr>
            <w:tcW w:w="1189" w:type="pct"/>
            <w:tcBorders>
              <w:top w:val="single" w:sz="4" w:space="0" w:color="auto"/>
              <w:left w:val="single" w:sz="4" w:space="0" w:color="auto"/>
              <w:bottom w:val="single" w:sz="4" w:space="0" w:color="auto"/>
              <w:right w:val="single" w:sz="4" w:space="0" w:color="auto"/>
            </w:tcBorders>
            <w:shd w:val="clear" w:color="auto" w:fill="auto"/>
          </w:tcPr>
          <w:p w14:paraId="753BC63B" w14:textId="28130079" w:rsidR="0010278A" w:rsidRPr="00FE0877" w:rsidRDefault="0010278A" w:rsidP="0010278A">
            <w:pPr>
              <w:ind w:firstLine="0"/>
              <w:jc w:val="right"/>
              <w:rPr>
                <w:i/>
                <w:iCs/>
                <w:color w:val="000000"/>
              </w:rPr>
            </w:pPr>
            <w:r w:rsidRPr="00FE0877">
              <w:t xml:space="preserve"> 6 682 690 </w:t>
            </w:r>
          </w:p>
        </w:tc>
      </w:tr>
      <w:tr w:rsidR="0010278A" w:rsidRPr="002A7D65" w14:paraId="28B886B9" w14:textId="77777777" w:rsidTr="00883FC1">
        <w:tc>
          <w:tcPr>
            <w:tcW w:w="2540" w:type="pct"/>
            <w:tcBorders>
              <w:top w:val="single" w:sz="4" w:space="0" w:color="auto"/>
              <w:bottom w:val="single" w:sz="4" w:space="0" w:color="auto"/>
              <w:right w:val="single" w:sz="4" w:space="0" w:color="auto"/>
            </w:tcBorders>
            <w:vAlign w:val="bottom"/>
          </w:tcPr>
          <w:p w14:paraId="44E90B63" w14:textId="77D737C2" w:rsidR="0010278A" w:rsidRPr="002A7D65" w:rsidRDefault="0010278A" w:rsidP="0010278A">
            <w:pPr>
              <w:ind w:firstLine="0"/>
              <w:jc w:val="left"/>
              <w:rPr>
                <w:i/>
                <w:iCs/>
              </w:rPr>
            </w:pPr>
            <w:r>
              <w:rPr>
                <w:rFonts w:ascii="Calibri" w:hAnsi="Calibri"/>
                <w:color w:val="000000"/>
                <w:sz w:val="22"/>
                <w:szCs w:val="22"/>
              </w:rPr>
              <w:t>LBTU</w:t>
            </w:r>
          </w:p>
        </w:tc>
        <w:tc>
          <w:tcPr>
            <w:tcW w:w="1271" w:type="pct"/>
            <w:tcBorders>
              <w:top w:val="single" w:sz="4" w:space="0" w:color="auto"/>
              <w:left w:val="single" w:sz="4" w:space="0" w:color="auto"/>
              <w:bottom w:val="single" w:sz="4" w:space="0" w:color="auto"/>
              <w:right w:val="single" w:sz="4" w:space="0" w:color="auto"/>
            </w:tcBorders>
            <w:shd w:val="clear" w:color="auto" w:fill="auto"/>
            <w:vAlign w:val="bottom"/>
          </w:tcPr>
          <w:p w14:paraId="3B66A524" w14:textId="556FE2B8" w:rsidR="0010278A" w:rsidRPr="00FE0877" w:rsidRDefault="0010278A" w:rsidP="0010278A">
            <w:pPr>
              <w:ind w:firstLine="0"/>
              <w:jc w:val="right"/>
              <w:rPr>
                <w:i/>
                <w:iCs/>
                <w:color w:val="000000"/>
              </w:rPr>
            </w:pPr>
            <w:r w:rsidRPr="00FE0877">
              <w:rPr>
                <w:rFonts w:ascii="Calibri" w:hAnsi="Calibri"/>
                <w:color w:val="000000"/>
                <w:sz w:val="22"/>
                <w:szCs w:val="22"/>
              </w:rPr>
              <w:t xml:space="preserve">                                      4 </w:t>
            </w:r>
          </w:p>
        </w:tc>
        <w:tc>
          <w:tcPr>
            <w:tcW w:w="1189" w:type="pct"/>
            <w:tcBorders>
              <w:top w:val="single" w:sz="4" w:space="0" w:color="auto"/>
              <w:left w:val="single" w:sz="4" w:space="0" w:color="auto"/>
              <w:bottom w:val="single" w:sz="4" w:space="0" w:color="auto"/>
              <w:right w:val="single" w:sz="4" w:space="0" w:color="auto"/>
            </w:tcBorders>
            <w:shd w:val="clear" w:color="auto" w:fill="auto"/>
          </w:tcPr>
          <w:p w14:paraId="6BDA1730" w14:textId="0BBF1C9D" w:rsidR="0010278A" w:rsidRPr="00FE0877" w:rsidRDefault="0010278A" w:rsidP="0010278A">
            <w:pPr>
              <w:ind w:firstLine="0"/>
              <w:jc w:val="right"/>
              <w:rPr>
                <w:i/>
                <w:iCs/>
                <w:color w:val="000000"/>
              </w:rPr>
            </w:pPr>
            <w:r w:rsidRPr="00FE0877">
              <w:t xml:space="preserve"> 2 673 076 </w:t>
            </w:r>
          </w:p>
        </w:tc>
      </w:tr>
      <w:tr w:rsidR="0010278A" w:rsidRPr="002A7D65" w14:paraId="5A72A670" w14:textId="77777777" w:rsidTr="00883FC1">
        <w:tc>
          <w:tcPr>
            <w:tcW w:w="2540" w:type="pct"/>
            <w:tcBorders>
              <w:top w:val="single" w:sz="4" w:space="0" w:color="auto"/>
              <w:bottom w:val="single" w:sz="4" w:space="0" w:color="auto"/>
              <w:right w:val="single" w:sz="4" w:space="0" w:color="auto"/>
            </w:tcBorders>
            <w:vAlign w:val="bottom"/>
          </w:tcPr>
          <w:p w14:paraId="4A152B77" w14:textId="168316D3" w:rsidR="0010278A" w:rsidRPr="002A7D65" w:rsidRDefault="0010278A" w:rsidP="0010278A">
            <w:pPr>
              <w:ind w:firstLine="0"/>
              <w:jc w:val="left"/>
              <w:rPr>
                <w:i/>
                <w:iCs/>
              </w:rPr>
            </w:pPr>
            <w:r>
              <w:rPr>
                <w:rFonts w:ascii="Calibri" w:hAnsi="Calibri"/>
                <w:color w:val="000000"/>
                <w:sz w:val="22"/>
                <w:szCs w:val="22"/>
              </w:rPr>
              <w:t>DU</w:t>
            </w:r>
          </w:p>
        </w:tc>
        <w:tc>
          <w:tcPr>
            <w:tcW w:w="1271" w:type="pct"/>
            <w:tcBorders>
              <w:top w:val="single" w:sz="4" w:space="0" w:color="auto"/>
              <w:left w:val="single" w:sz="4" w:space="0" w:color="auto"/>
              <w:bottom w:val="single" w:sz="4" w:space="0" w:color="auto"/>
              <w:right w:val="single" w:sz="4" w:space="0" w:color="auto"/>
            </w:tcBorders>
            <w:shd w:val="clear" w:color="auto" w:fill="auto"/>
            <w:vAlign w:val="bottom"/>
          </w:tcPr>
          <w:p w14:paraId="29316047" w14:textId="40598017" w:rsidR="0010278A" w:rsidRPr="00FE0877" w:rsidRDefault="0010278A" w:rsidP="0010278A">
            <w:pPr>
              <w:ind w:firstLine="0"/>
              <w:jc w:val="right"/>
              <w:rPr>
                <w:i/>
                <w:iCs/>
                <w:color w:val="000000"/>
              </w:rPr>
            </w:pPr>
            <w:r w:rsidRPr="00FE0877">
              <w:rPr>
                <w:rFonts w:ascii="Calibri" w:hAnsi="Calibri"/>
                <w:color w:val="000000"/>
                <w:sz w:val="22"/>
                <w:szCs w:val="22"/>
              </w:rPr>
              <w:t xml:space="preserve">                                      3 </w:t>
            </w:r>
          </w:p>
        </w:tc>
        <w:tc>
          <w:tcPr>
            <w:tcW w:w="1189" w:type="pct"/>
            <w:tcBorders>
              <w:top w:val="single" w:sz="4" w:space="0" w:color="auto"/>
              <w:left w:val="single" w:sz="4" w:space="0" w:color="auto"/>
              <w:bottom w:val="single" w:sz="4" w:space="0" w:color="auto"/>
              <w:right w:val="single" w:sz="4" w:space="0" w:color="auto"/>
            </w:tcBorders>
            <w:shd w:val="clear" w:color="auto" w:fill="auto"/>
          </w:tcPr>
          <w:p w14:paraId="66475AC8" w14:textId="3DB96C81" w:rsidR="0010278A" w:rsidRPr="00FE0877" w:rsidRDefault="0010278A" w:rsidP="0010278A">
            <w:pPr>
              <w:ind w:firstLine="0"/>
              <w:jc w:val="right"/>
              <w:rPr>
                <w:i/>
                <w:iCs/>
                <w:color w:val="000000"/>
              </w:rPr>
            </w:pPr>
            <w:r w:rsidRPr="00FE0877">
              <w:t xml:space="preserve"> 2 004 807 </w:t>
            </w:r>
          </w:p>
        </w:tc>
      </w:tr>
      <w:tr w:rsidR="0010278A" w:rsidRPr="002A7D65" w14:paraId="7D246D46" w14:textId="77777777" w:rsidTr="00883FC1">
        <w:tc>
          <w:tcPr>
            <w:tcW w:w="2540" w:type="pct"/>
            <w:tcBorders>
              <w:top w:val="single" w:sz="4" w:space="0" w:color="auto"/>
              <w:bottom w:val="single" w:sz="4" w:space="0" w:color="auto"/>
              <w:right w:val="single" w:sz="4" w:space="0" w:color="auto"/>
            </w:tcBorders>
            <w:vAlign w:val="bottom"/>
          </w:tcPr>
          <w:p w14:paraId="7B67F338" w14:textId="3E0F4E2E" w:rsidR="0010278A" w:rsidRPr="002A7D65" w:rsidRDefault="0010278A" w:rsidP="0010278A">
            <w:pPr>
              <w:ind w:firstLine="0"/>
              <w:jc w:val="left"/>
              <w:rPr>
                <w:i/>
                <w:iCs/>
              </w:rPr>
            </w:pPr>
            <w:r>
              <w:rPr>
                <w:rFonts w:ascii="Calibri" w:hAnsi="Calibri"/>
                <w:color w:val="000000"/>
                <w:sz w:val="22"/>
                <w:szCs w:val="22"/>
              </w:rPr>
              <w:t>Pārējās iestādes (zem 1k studējošo)</w:t>
            </w:r>
          </w:p>
        </w:tc>
        <w:tc>
          <w:tcPr>
            <w:tcW w:w="1271" w:type="pct"/>
            <w:tcBorders>
              <w:top w:val="single" w:sz="4" w:space="0" w:color="auto"/>
              <w:left w:val="single" w:sz="4" w:space="0" w:color="auto"/>
              <w:bottom w:val="single" w:sz="4" w:space="0" w:color="auto"/>
              <w:right w:val="single" w:sz="4" w:space="0" w:color="auto"/>
            </w:tcBorders>
            <w:shd w:val="clear" w:color="auto" w:fill="auto"/>
            <w:vAlign w:val="bottom"/>
          </w:tcPr>
          <w:p w14:paraId="5DEAB80F" w14:textId="4493DBA1" w:rsidR="0010278A" w:rsidRPr="00FE0877" w:rsidRDefault="0010278A" w:rsidP="0010278A">
            <w:pPr>
              <w:ind w:firstLine="0"/>
              <w:jc w:val="right"/>
              <w:rPr>
                <w:i/>
                <w:iCs/>
                <w:color w:val="000000"/>
              </w:rPr>
            </w:pPr>
            <w:r w:rsidRPr="00FE0877">
              <w:rPr>
                <w:rFonts w:ascii="Calibri" w:hAnsi="Calibri"/>
                <w:color w:val="000000"/>
                <w:sz w:val="22"/>
                <w:szCs w:val="22"/>
              </w:rPr>
              <w:t>1</w:t>
            </w:r>
          </w:p>
        </w:tc>
        <w:tc>
          <w:tcPr>
            <w:tcW w:w="1189" w:type="pct"/>
            <w:tcBorders>
              <w:top w:val="single" w:sz="4" w:space="0" w:color="auto"/>
              <w:left w:val="single" w:sz="4" w:space="0" w:color="auto"/>
              <w:bottom w:val="single" w:sz="4" w:space="0" w:color="auto"/>
              <w:right w:val="single" w:sz="4" w:space="0" w:color="auto"/>
            </w:tcBorders>
            <w:shd w:val="clear" w:color="auto" w:fill="auto"/>
          </w:tcPr>
          <w:p w14:paraId="10A3F616" w14:textId="0D8476EB" w:rsidR="0010278A" w:rsidRPr="00FE0877" w:rsidRDefault="0010278A" w:rsidP="0010278A">
            <w:pPr>
              <w:ind w:firstLine="0"/>
              <w:jc w:val="right"/>
              <w:rPr>
                <w:i/>
                <w:iCs/>
                <w:color w:val="000000"/>
              </w:rPr>
            </w:pPr>
            <w:r w:rsidRPr="00FE0877">
              <w:t xml:space="preserve"> 668 269 </w:t>
            </w:r>
          </w:p>
        </w:tc>
      </w:tr>
    </w:tbl>
    <w:p w14:paraId="76686BD0" w14:textId="77777777" w:rsidR="009C112A" w:rsidRDefault="009C112A" w:rsidP="009D480A"/>
    <w:p w14:paraId="27B98CF4" w14:textId="1FCC8E09" w:rsidR="00032B2F" w:rsidRPr="002A7D65" w:rsidRDefault="000002EA" w:rsidP="004E2733">
      <w:r>
        <w:t xml:space="preserve">Pēc institucionālā finansējuma </w:t>
      </w:r>
      <w:proofErr w:type="spellStart"/>
      <w:r>
        <w:t>izmēģinājump</w:t>
      </w:r>
      <w:r w:rsidR="002369CE">
        <w:t>rojekta</w:t>
      </w:r>
      <w:proofErr w:type="spellEnd"/>
      <w:r w:rsidR="002369CE">
        <w:t xml:space="preserve"> noslēgšanas, IZM </w:t>
      </w:r>
      <w:r w:rsidR="00A67DA1">
        <w:t xml:space="preserve">piedāvās izmaksu aktualizācijas metodi, ņemot vērā jauno finansējuma modeli. Izmaksu aktualizācijas ietvaros arī tiks ņemta vērā dažādo studiju jomu </w:t>
      </w:r>
      <w:proofErr w:type="spellStart"/>
      <w:r w:rsidR="00726FA0">
        <w:t>resursietlpība</w:t>
      </w:r>
      <w:proofErr w:type="spellEnd"/>
      <w:r w:rsidR="00726FA0">
        <w:t xml:space="preserve"> un tiks piedāvāta arī studiju jomu koeficientu aktualizācij</w:t>
      </w:r>
      <w:r w:rsidR="00457A67">
        <w:t>a</w:t>
      </w:r>
      <w:r w:rsidR="00726FA0">
        <w:t>.</w:t>
      </w:r>
    </w:p>
    <w:p w14:paraId="7BD54E9F" w14:textId="77777777" w:rsidR="00E771A9" w:rsidRPr="002A7D65" w:rsidRDefault="00E771A9" w:rsidP="00E771A9">
      <w:pPr>
        <w:pStyle w:val="Heading1"/>
      </w:pPr>
      <w:bookmarkStart w:id="28" w:name="_Toc167452332"/>
      <w:r w:rsidRPr="002A7D65">
        <w:t>Nepieciešamās izmaiņas normatīvajā regulējumā:</w:t>
      </w:r>
      <w:bookmarkEnd w:id="28"/>
      <w:r w:rsidRPr="002A7D65">
        <w:t xml:space="preserve"> </w:t>
      </w:r>
    </w:p>
    <w:p w14:paraId="55849F72" w14:textId="7E03B4C5" w:rsidR="00E771A9" w:rsidRPr="002A7D65" w:rsidRDefault="00525637" w:rsidP="00E771A9">
      <w:pPr>
        <w:ind w:firstLine="0"/>
        <w:rPr>
          <w:rFonts w:eastAsiaTheme="minorEastAsia"/>
        </w:rPr>
      </w:pPr>
      <w:r>
        <w:rPr>
          <w:rFonts w:eastAsiaTheme="minorEastAsia"/>
        </w:rPr>
        <w:t>1</w:t>
      </w:r>
      <w:r w:rsidR="00E771A9" w:rsidRPr="002A7D65">
        <w:rPr>
          <w:rFonts w:eastAsiaTheme="minorEastAsia"/>
        </w:rPr>
        <w:t>) grozījumi Augstskolu</w:t>
      </w:r>
      <w:r w:rsidR="00902F73">
        <w:rPr>
          <w:rFonts w:eastAsiaTheme="minorEastAsia"/>
        </w:rPr>
        <w:t xml:space="preserve"> un Profesionālās izglītības</w:t>
      </w:r>
      <w:r w:rsidR="00E771A9" w:rsidRPr="002A7D65">
        <w:rPr>
          <w:rFonts w:eastAsiaTheme="minorEastAsia"/>
        </w:rPr>
        <w:t xml:space="preserve"> likumā, ieviešot visai augstākās izglītības nozarei jaunus finansēšanas principus, tostarp institucionālo finansējumu un aktualizējot stipendiju piešķiršanas principus;</w:t>
      </w:r>
    </w:p>
    <w:p w14:paraId="16F9CD85" w14:textId="2F7083DD" w:rsidR="00E771A9" w:rsidRPr="002A7D65" w:rsidRDefault="00525637" w:rsidP="00525637">
      <w:pPr>
        <w:ind w:firstLine="0"/>
        <w:rPr>
          <w:rFonts w:eastAsiaTheme="minorEastAsia"/>
        </w:rPr>
      </w:pPr>
      <w:r>
        <w:rPr>
          <w:rFonts w:eastAsiaTheme="minorEastAsia"/>
        </w:rPr>
        <w:t>2</w:t>
      </w:r>
      <w:r w:rsidR="00E771A9" w:rsidRPr="002A7D65">
        <w:rPr>
          <w:rFonts w:eastAsiaTheme="minorEastAsia"/>
        </w:rPr>
        <w:t>) grozījumi Izglītības likumā un Profesionālās izglītības likumā, lai nodrošinātu Augstskolu likuma grozījumu atbilstību tiesību sistēmai un nodrošinātu, ka arī koledžām tiktu nodrošināts institucionālais finansējums;</w:t>
      </w:r>
    </w:p>
    <w:p w14:paraId="084E22F7" w14:textId="25811F5D" w:rsidR="00E771A9" w:rsidRPr="002A7D65" w:rsidRDefault="00525637" w:rsidP="00E771A9">
      <w:pPr>
        <w:ind w:firstLine="0"/>
        <w:rPr>
          <w:rFonts w:eastAsiaTheme="minorEastAsia"/>
        </w:rPr>
      </w:pPr>
      <w:r>
        <w:rPr>
          <w:rFonts w:eastAsiaTheme="minorEastAsia"/>
        </w:rPr>
        <w:t>4</w:t>
      </w:r>
      <w:r w:rsidR="00E771A9" w:rsidRPr="002A7D65">
        <w:rPr>
          <w:rFonts w:eastAsiaTheme="minorEastAsia"/>
        </w:rPr>
        <w:t xml:space="preserve">) jaunajā redakcijā izdotie MK 2006.gada 12.decembra noteikumi Nr. 994 “Kārtība, kādā augstskolas un koledžas tiek finansētas no valsts budžeta līdzekļiem”, paredzot jaunus finansēšanas principus, kā arī jaunus snieguma rādītājus;  </w:t>
      </w:r>
    </w:p>
    <w:p w14:paraId="38A00152" w14:textId="52007592" w:rsidR="00E771A9" w:rsidRPr="002A7D65" w:rsidRDefault="00525637" w:rsidP="00E771A9">
      <w:pPr>
        <w:ind w:firstLine="0"/>
        <w:rPr>
          <w:rFonts w:eastAsiaTheme="minorEastAsia"/>
        </w:rPr>
      </w:pPr>
      <w:r>
        <w:rPr>
          <w:rFonts w:eastAsiaTheme="minorEastAsia"/>
        </w:rPr>
        <w:t>5</w:t>
      </w:r>
      <w:r w:rsidR="00E771A9" w:rsidRPr="002A7D65">
        <w:rPr>
          <w:rFonts w:eastAsiaTheme="minorEastAsia"/>
        </w:rPr>
        <w:t>) jaunā redakcijā izdoti MK 2004.gada 24.augusta noteikumi Nr. 740 “Noteikumi par stipendijām”, aktualizējot stipendiju fonda veidošanas principus, stipendiju veidus, apmēru un saņēmēju loku;</w:t>
      </w:r>
    </w:p>
    <w:p w14:paraId="6D5F8B57" w14:textId="21366325" w:rsidR="00E771A9" w:rsidRPr="002A7D65" w:rsidRDefault="00525637" w:rsidP="00E771A9">
      <w:pPr>
        <w:ind w:firstLine="0"/>
        <w:rPr>
          <w:rFonts w:eastAsiaTheme="minorEastAsia"/>
        </w:rPr>
      </w:pPr>
      <w:r>
        <w:rPr>
          <w:rFonts w:eastAsiaTheme="minorEastAsia"/>
        </w:rPr>
        <w:t>6</w:t>
      </w:r>
      <w:r w:rsidR="00E771A9" w:rsidRPr="002A7D65">
        <w:rPr>
          <w:rFonts w:eastAsiaTheme="minorEastAsia"/>
        </w:rPr>
        <w:t>) grozījumi MK 2019. gada 25. jūnija noteikumos Nr. 276 “Valsts izglītības informācijas sistēmas noteikumi”, paredzot aktualizētu datu apmaiņu;</w:t>
      </w:r>
    </w:p>
    <w:p w14:paraId="6E3B8EB9" w14:textId="77777777" w:rsidR="00E771A9" w:rsidRPr="002A7D65" w:rsidRDefault="00E771A9" w:rsidP="00E771A9">
      <w:pPr>
        <w:ind w:firstLine="0"/>
        <w:rPr>
          <w:rFonts w:eastAsiaTheme="minorEastAsia"/>
        </w:rPr>
      </w:pPr>
    </w:p>
    <w:p w14:paraId="7DDF339C" w14:textId="77777777" w:rsidR="00E771A9" w:rsidRPr="002A7D65" w:rsidRDefault="00E771A9" w:rsidP="00E771A9"/>
    <w:p w14:paraId="76CBD0CB" w14:textId="77777777" w:rsidR="00E771A9" w:rsidRPr="002A7D65" w:rsidRDefault="00E771A9" w:rsidP="00E771A9">
      <w:pPr>
        <w:pStyle w:val="Heading1"/>
      </w:pPr>
      <w:bookmarkStart w:id="29" w:name="_Toc167452333"/>
      <w:r w:rsidRPr="002A7D65">
        <w:t>Ietekme uz budžetu</w:t>
      </w:r>
      <w:bookmarkEnd w:id="29"/>
    </w:p>
    <w:p w14:paraId="50794BCE" w14:textId="77777777" w:rsidR="00E838B6" w:rsidRDefault="00E771A9" w:rsidP="00E771A9">
      <w:r w:rsidRPr="002A7D65">
        <w:t xml:space="preserve">Izglītības un zinātnes ministrija ir iesniegusi un guvusi atbalstu vairākiem prioritārajiem pasākumiem, kas cieši sasaistās ar institucionālā finansējuma ieviešanas pilotprojektu. Finansējums šiem pasākumiem ir jau piešķirts un ir paredzēts, ka tas tiks </w:t>
      </w:r>
      <w:r w:rsidRPr="002A7D65">
        <w:lastRenderedPageBreak/>
        <w:t xml:space="preserve">izmantots sekojošā veidā, saskaņā ar iesniegto prioritāro pasākumu aprēķiniem un institucionālā finansējuma reformas mērķiem. Finansējums ir piešķirts Ministrijas prioritārajam pasākumam “Augstākā izglītība”, kas ticis atbalstīts 2023. gada budžeta veidošanas procesā un prioritārajos pasākumos “Snieguma finansējuma augstākajā izglītībā un zinātnē īpatsvara pakāpeniska palielināšana” un “Pilotprojekts augstākās izglītības institucionālā finansējuma ieviešanai 2024.gadā”. </w:t>
      </w:r>
    </w:p>
    <w:p w14:paraId="4CB3E3CF" w14:textId="016BC8CD" w:rsidR="00FF3119" w:rsidRDefault="004548CF" w:rsidP="00E771A9">
      <w:r>
        <w:t xml:space="preserve">Savukārt </w:t>
      </w:r>
      <w:r w:rsidR="000318DA">
        <w:t xml:space="preserve">prioritārā pasākuma “Snieguma finansējuma augstākajā izglītībā un zinātnē īpatsvara pakāpeniska palielināšana” finansējums tiks ieguldīts saskaņā ar prioritārā pasākuma kartiņa, kura ietvaros </w:t>
      </w:r>
      <w:r w:rsidR="004C6860">
        <w:t xml:space="preserve">tiks palielināts finansējums snieguma finansējumam un zinātnes bāzei, kas tiek piešķirta, ņemot vērā zinātnes sniegumu. Tāpat arī finansējums tiks izmantots, lai </w:t>
      </w:r>
      <w:r w:rsidR="00EC3116">
        <w:t xml:space="preserve">radītu nepieciešamos pamatus nākotnes snieguma kritērijiem, kas būtu saistīti ar mūžizglītību </w:t>
      </w:r>
      <w:r w:rsidR="00A82969">
        <w:t xml:space="preserve">un studējošo darba tirgus gaitām, kā ietvaros tiks veidota nacionālā studējošo, absolventu un bez diploma eksmatrikulēto (“atbirušo”) aptauja un īstenots </w:t>
      </w:r>
      <w:proofErr w:type="spellStart"/>
      <w:r w:rsidR="00A82969">
        <w:t>mikrokvalifikāciju</w:t>
      </w:r>
      <w:proofErr w:type="spellEnd"/>
      <w:r w:rsidR="00A82969">
        <w:t xml:space="preserve"> </w:t>
      </w:r>
      <w:proofErr w:type="spellStart"/>
      <w:r w:rsidR="00A82969">
        <w:t>izmēģinājumprojekts</w:t>
      </w:r>
      <w:proofErr w:type="spellEnd"/>
      <w:r w:rsidR="00A82969">
        <w:t xml:space="preserve">. </w:t>
      </w:r>
      <w:proofErr w:type="spellStart"/>
      <w:r w:rsidR="00A82969">
        <w:t>Mikrokvalifikāciju</w:t>
      </w:r>
      <w:proofErr w:type="spellEnd"/>
      <w:r w:rsidR="00A82969">
        <w:t xml:space="preserve"> </w:t>
      </w:r>
      <w:proofErr w:type="spellStart"/>
      <w:r w:rsidR="00A82969">
        <w:t>izmēģinājumprojekta</w:t>
      </w:r>
      <w:proofErr w:type="spellEnd"/>
      <w:r w:rsidR="00A82969">
        <w:t xml:space="preserve"> koordinēšanu un izvērtēšanu IZM plāno deleģēt Vidzemes </w:t>
      </w:r>
      <w:proofErr w:type="spellStart"/>
      <w:r w:rsidR="00A82969">
        <w:t>Augstkolai</w:t>
      </w:r>
      <w:proofErr w:type="spellEnd"/>
      <w:r w:rsidR="00A82969">
        <w:t xml:space="preserve">, ņemot vērā tās plašo pieredzi </w:t>
      </w:r>
      <w:r w:rsidR="001B574C">
        <w:t xml:space="preserve">starpaugstskolu sadarbības īstenošanā. </w:t>
      </w:r>
      <w:proofErr w:type="spellStart"/>
      <w:r w:rsidR="001B574C">
        <w:t>Mikrokvalifikāciju</w:t>
      </w:r>
      <w:proofErr w:type="spellEnd"/>
      <w:r w:rsidR="001B574C">
        <w:t xml:space="preserve"> </w:t>
      </w:r>
      <w:proofErr w:type="spellStart"/>
      <w:r w:rsidR="001B574C">
        <w:t>izmēģinājumprojekta</w:t>
      </w:r>
      <w:proofErr w:type="spellEnd"/>
      <w:r w:rsidR="001B574C">
        <w:t xml:space="preserve"> rezultātā tiks aprobēta jauna pieeja mūžizglītības piedāvājumā, kā ietvaros varēs </w:t>
      </w:r>
      <w:r w:rsidR="000A3898">
        <w:t>veidot elastīgu un darba tirgum piemēro izglītības piedāvājumu.</w:t>
      </w:r>
    </w:p>
    <w:p w14:paraId="37389242" w14:textId="77777777" w:rsidR="00E838B6" w:rsidRDefault="00E838B6" w:rsidP="00E771A9"/>
    <w:p w14:paraId="5989755E" w14:textId="5C5B577F" w:rsidR="00E771A9" w:rsidRPr="002A7D65" w:rsidRDefault="00E771A9" w:rsidP="00E771A9">
      <w:r w:rsidRPr="002A7D65">
        <w:t>Konceptuālā ziņojuma ietvaros tiek piedāvāti vairāki scenāriji, kā turpmāk varētu tikt attīstīta augstākās izglītības finansēšana:</w:t>
      </w:r>
    </w:p>
    <w:p w14:paraId="09688E4A" w14:textId="77777777" w:rsidR="00E771A9" w:rsidRPr="002A7D65" w:rsidRDefault="00E771A9" w:rsidP="00E771A9">
      <w:pPr>
        <w:pStyle w:val="ListParagraph"/>
        <w:numPr>
          <w:ilvl w:val="0"/>
          <w:numId w:val="23"/>
        </w:numPr>
        <w:rPr>
          <w:rFonts w:asciiTheme="minorHAnsi" w:hAnsiTheme="minorHAnsi" w:cstheme="minorHAnsi"/>
          <w:sz w:val="24"/>
          <w:szCs w:val="36"/>
        </w:rPr>
      </w:pPr>
      <w:r w:rsidRPr="002A7D65">
        <w:rPr>
          <w:rFonts w:asciiTheme="minorHAnsi" w:hAnsiTheme="minorHAnsi" w:cstheme="minorHAnsi"/>
          <w:sz w:val="24"/>
          <w:szCs w:val="36"/>
        </w:rPr>
        <w:t>Attīstība esošā finansējuma apmēros;</w:t>
      </w:r>
    </w:p>
    <w:p w14:paraId="239297D3" w14:textId="2261BC1B" w:rsidR="00E771A9" w:rsidRDefault="00E771A9" w:rsidP="005E0DD3">
      <w:pPr>
        <w:pStyle w:val="ListParagraph"/>
        <w:numPr>
          <w:ilvl w:val="0"/>
          <w:numId w:val="23"/>
        </w:numPr>
        <w:rPr>
          <w:rFonts w:asciiTheme="minorHAnsi" w:hAnsiTheme="minorHAnsi" w:cstheme="minorHAnsi"/>
          <w:sz w:val="24"/>
          <w:szCs w:val="36"/>
        </w:rPr>
      </w:pPr>
      <w:proofErr w:type="spellStart"/>
      <w:r w:rsidRPr="002A7D65">
        <w:rPr>
          <w:rFonts w:asciiTheme="minorHAnsi" w:hAnsiTheme="minorHAnsi" w:cstheme="minorHAnsi"/>
          <w:sz w:val="24"/>
          <w:szCs w:val="36"/>
        </w:rPr>
        <w:t>Izmēģinājumprojekta</w:t>
      </w:r>
      <w:proofErr w:type="spellEnd"/>
      <w:r w:rsidRPr="002A7D65">
        <w:rPr>
          <w:rFonts w:asciiTheme="minorHAnsi" w:hAnsiTheme="minorHAnsi" w:cstheme="minorHAnsi"/>
          <w:sz w:val="24"/>
          <w:szCs w:val="36"/>
        </w:rPr>
        <w:t xml:space="preserve"> rezultātos balstīta sistēmiska </w:t>
      </w:r>
      <w:r w:rsidR="00312403" w:rsidRPr="002A7D65">
        <w:rPr>
          <w:rFonts w:asciiTheme="minorHAnsi" w:hAnsiTheme="minorHAnsi" w:cstheme="minorHAnsi"/>
          <w:sz w:val="24"/>
          <w:szCs w:val="36"/>
        </w:rPr>
        <w:t>parēja</w:t>
      </w:r>
      <w:r w:rsidRPr="002A7D65">
        <w:rPr>
          <w:rFonts w:asciiTheme="minorHAnsi" w:hAnsiTheme="minorHAnsi" w:cstheme="minorHAnsi"/>
          <w:sz w:val="24"/>
          <w:szCs w:val="36"/>
        </w:rPr>
        <w:t xml:space="preserve"> uz institucionālo finansējumu</w:t>
      </w:r>
      <w:r w:rsidR="005E0DD3" w:rsidRPr="002A7D65">
        <w:rPr>
          <w:rFonts w:asciiTheme="minorHAnsi" w:hAnsiTheme="minorHAnsi" w:cstheme="minorHAnsi"/>
          <w:sz w:val="24"/>
          <w:szCs w:val="36"/>
        </w:rPr>
        <w:t>.</w:t>
      </w:r>
    </w:p>
    <w:p w14:paraId="390D9648" w14:textId="77777777" w:rsidR="00F57666" w:rsidRPr="00126DB0" w:rsidRDefault="00F57666" w:rsidP="00126DB0">
      <w:pPr>
        <w:ind w:firstLine="0"/>
      </w:pPr>
    </w:p>
    <w:p w14:paraId="62B8ED2E" w14:textId="358763F8" w:rsidR="006B4AEC" w:rsidRPr="00F24F40" w:rsidRDefault="00F57666" w:rsidP="00F24F40">
      <w:pPr>
        <w:pStyle w:val="ListParagraph"/>
        <w:ind w:left="1080" w:firstLine="0"/>
        <w:jc w:val="right"/>
        <w:rPr>
          <w:rFonts w:asciiTheme="minorHAnsi" w:hAnsiTheme="minorHAnsi"/>
          <w:sz w:val="24"/>
        </w:rPr>
      </w:pPr>
      <w:bookmarkStart w:id="30" w:name="_Hlk160180296"/>
      <w:r>
        <w:rPr>
          <w:rFonts w:asciiTheme="minorHAnsi" w:hAnsiTheme="minorHAnsi"/>
          <w:sz w:val="24"/>
        </w:rPr>
        <w:t>7</w:t>
      </w:r>
      <w:r w:rsidRPr="00980FA5">
        <w:rPr>
          <w:rFonts w:asciiTheme="minorHAnsi" w:hAnsiTheme="minorHAnsi"/>
          <w:sz w:val="24"/>
        </w:rPr>
        <w:t>.</w:t>
      </w:r>
      <w:r>
        <w:rPr>
          <w:rFonts w:asciiTheme="minorHAnsi" w:hAnsiTheme="minorHAnsi"/>
          <w:sz w:val="24"/>
        </w:rPr>
        <w:t xml:space="preserve"> tabula</w:t>
      </w:r>
      <w:r w:rsidRPr="00980FA5">
        <w:rPr>
          <w:rFonts w:asciiTheme="minorHAnsi" w:hAnsiTheme="minorHAnsi"/>
          <w:sz w:val="24"/>
        </w:rPr>
        <w:t xml:space="preserve">: </w:t>
      </w:r>
      <w:r w:rsidR="001C279B">
        <w:rPr>
          <w:rFonts w:asciiTheme="minorHAnsi" w:hAnsiTheme="minorHAnsi"/>
          <w:sz w:val="24"/>
        </w:rPr>
        <w:t>Indikatīvā p</w:t>
      </w:r>
      <w:r>
        <w:rPr>
          <w:rFonts w:asciiTheme="minorHAnsi" w:hAnsiTheme="minorHAnsi"/>
          <w:sz w:val="24"/>
        </w:rPr>
        <w:t xml:space="preserve">otenciālā ietekme uz valsts </w:t>
      </w:r>
      <w:r w:rsidR="005F13F0">
        <w:rPr>
          <w:rFonts w:asciiTheme="minorHAnsi" w:hAnsiTheme="minorHAnsi"/>
          <w:sz w:val="24"/>
        </w:rPr>
        <w:t>augstskolu budžetiem</w:t>
      </w:r>
    </w:p>
    <w:bookmarkEnd w:id="30"/>
    <w:tbl>
      <w:tblPr>
        <w:tblStyle w:val="TableGrid"/>
        <w:tblW w:w="9073" w:type="dxa"/>
        <w:tblInd w:w="-289" w:type="dxa"/>
        <w:tblLayout w:type="fixed"/>
        <w:tblLook w:val="04A0" w:firstRow="1" w:lastRow="0" w:firstColumn="1" w:lastColumn="0" w:noHBand="0" w:noVBand="1"/>
      </w:tblPr>
      <w:tblGrid>
        <w:gridCol w:w="1418"/>
        <w:gridCol w:w="1913"/>
        <w:gridCol w:w="1914"/>
        <w:gridCol w:w="1914"/>
        <w:gridCol w:w="1914"/>
      </w:tblGrid>
      <w:tr w:rsidR="003A4B56" w14:paraId="0752601D" w14:textId="77777777" w:rsidTr="00847D01">
        <w:trPr>
          <w:tblHeader/>
        </w:trPr>
        <w:tc>
          <w:tcPr>
            <w:tcW w:w="1418" w:type="dxa"/>
          </w:tcPr>
          <w:p w14:paraId="21FDC54E" w14:textId="77777777" w:rsidR="003A4B56" w:rsidRDefault="003A4B56" w:rsidP="00BC586F">
            <w:pPr>
              <w:ind w:firstLine="0"/>
            </w:pPr>
          </w:p>
        </w:tc>
        <w:tc>
          <w:tcPr>
            <w:tcW w:w="3827" w:type="dxa"/>
            <w:gridSpan w:val="2"/>
          </w:tcPr>
          <w:p w14:paraId="1BE86D82" w14:textId="599EC65A" w:rsidR="003A4B56" w:rsidRDefault="003A4B56" w:rsidP="00BC586F">
            <w:pPr>
              <w:ind w:firstLine="0"/>
            </w:pPr>
            <w:r>
              <w:t>Esošais finansējum</w:t>
            </w:r>
            <w:r w:rsidR="00DF387B">
              <w:t>s</w:t>
            </w:r>
            <w:r w:rsidR="00991EBA">
              <w:t xml:space="preserve"> - </w:t>
            </w:r>
            <w:r w:rsidR="00005E8C">
              <w:t>stabils</w:t>
            </w:r>
          </w:p>
        </w:tc>
        <w:tc>
          <w:tcPr>
            <w:tcW w:w="3828" w:type="dxa"/>
            <w:gridSpan w:val="2"/>
          </w:tcPr>
          <w:p w14:paraId="11BFD4C6" w14:textId="2CC28B1A" w:rsidR="003A4B56" w:rsidRDefault="002637FF" w:rsidP="00BC586F">
            <w:pPr>
              <w:ind w:firstLine="0"/>
            </w:pPr>
            <w:r>
              <w:t>B</w:t>
            </w:r>
            <w:r w:rsidR="0046707A">
              <w:t xml:space="preserve"> scenārija</w:t>
            </w:r>
            <w:r>
              <w:t xml:space="preserve"> </w:t>
            </w:r>
            <w:r w:rsidR="00A85302">
              <w:t xml:space="preserve">nepieciešamais </w:t>
            </w:r>
            <w:r w:rsidR="003A4B56">
              <w:t>finansējums</w:t>
            </w:r>
          </w:p>
        </w:tc>
      </w:tr>
      <w:tr w:rsidR="003A4B56" w14:paraId="3191DC8E" w14:textId="57557CAF" w:rsidTr="00847D01">
        <w:trPr>
          <w:tblHeader/>
        </w:trPr>
        <w:tc>
          <w:tcPr>
            <w:tcW w:w="1418" w:type="dxa"/>
          </w:tcPr>
          <w:p w14:paraId="7D6BF4AE" w14:textId="1DC2749B" w:rsidR="003A4B56" w:rsidRDefault="003A4B56" w:rsidP="00BC586F">
            <w:pPr>
              <w:ind w:firstLine="0"/>
            </w:pPr>
            <w:r>
              <w:t>Augstākās izglītības iestāde</w:t>
            </w:r>
          </w:p>
        </w:tc>
        <w:tc>
          <w:tcPr>
            <w:tcW w:w="1913" w:type="dxa"/>
          </w:tcPr>
          <w:p w14:paraId="3196A428" w14:textId="4D0D3D1D" w:rsidR="003A4B56" w:rsidRDefault="003A4B56" w:rsidP="00BC586F">
            <w:pPr>
              <w:ind w:firstLine="0"/>
            </w:pPr>
            <w:r>
              <w:t>2024. gada studiju finansējum</w:t>
            </w:r>
            <w:r w:rsidR="00991EBA">
              <w:t>s</w:t>
            </w:r>
          </w:p>
        </w:tc>
        <w:tc>
          <w:tcPr>
            <w:tcW w:w="1914" w:type="dxa"/>
          </w:tcPr>
          <w:p w14:paraId="525D4EA4" w14:textId="30F83A53" w:rsidR="003A4B56" w:rsidRDefault="003A4B56" w:rsidP="00BC586F">
            <w:pPr>
              <w:ind w:firstLine="0"/>
            </w:pPr>
            <w:r>
              <w:t>Snieguma finansējums 2024. gadā</w:t>
            </w:r>
          </w:p>
        </w:tc>
        <w:tc>
          <w:tcPr>
            <w:tcW w:w="1914" w:type="dxa"/>
          </w:tcPr>
          <w:p w14:paraId="7B247090" w14:textId="70E82748" w:rsidR="003A4B56" w:rsidRPr="00FE0877" w:rsidRDefault="003A4B56" w:rsidP="00BC586F">
            <w:pPr>
              <w:ind w:firstLine="0"/>
            </w:pPr>
            <w:r w:rsidRPr="00FE0877">
              <w:t>Institucionālā finansējuma</w:t>
            </w:r>
            <w:r w:rsidR="00C27445" w:rsidRPr="00FE0877">
              <w:t xml:space="preserve"> </w:t>
            </w:r>
            <w:proofErr w:type="spellStart"/>
            <w:r w:rsidR="00200619" w:rsidRPr="00FE0877">
              <w:t>izmēģinājumprojekts</w:t>
            </w:r>
            <w:proofErr w:type="spellEnd"/>
            <w:r w:rsidR="00DC761C" w:rsidRPr="00FE0877">
              <w:t>,</w:t>
            </w:r>
            <w:r w:rsidR="0084456A" w:rsidRPr="00FE0877">
              <w:t xml:space="preserve"> gadā</w:t>
            </w:r>
            <w:r w:rsidR="0046244A" w:rsidRPr="00FE0877">
              <w:rPr>
                <w:rStyle w:val="FootnoteReference"/>
              </w:rPr>
              <w:footnoteReference w:id="35"/>
            </w:r>
          </w:p>
        </w:tc>
        <w:tc>
          <w:tcPr>
            <w:tcW w:w="1914" w:type="dxa"/>
          </w:tcPr>
          <w:p w14:paraId="3EB7F07E" w14:textId="5E0E9871" w:rsidR="003A4B56" w:rsidRDefault="003A4B56" w:rsidP="00BC586F">
            <w:pPr>
              <w:ind w:firstLine="0"/>
            </w:pPr>
            <w:r>
              <w:t>2024.gada papildu snieguma finansējums saskaņā esošā absolventu skaita kritērij</w:t>
            </w:r>
            <w:r w:rsidR="00105434">
              <w:t>u</w:t>
            </w:r>
          </w:p>
        </w:tc>
      </w:tr>
      <w:tr w:rsidR="004B1E12" w14:paraId="73C8BB87" w14:textId="54DF3C3F" w:rsidTr="0068132D">
        <w:tc>
          <w:tcPr>
            <w:tcW w:w="1418" w:type="dxa"/>
            <w:vAlign w:val="center"/>
          </w:tcPr>
          <w:p w14:paraId="43C6F1B4" w14:textId="2B508931" w:rsidR="004B1E12" w:rsidRDefault="004B1E12" w:rsidP="004B1E12">
            <w:pPr>
              <w:ind w:firstLine="0"/>
            </w:pPr>
            <w:r>
              <w:rPr>
                <w:rFonts w:ascii="Calibri" w:hAnsi="Calibri"/>
                <w:sz w:val="22"/>
                <w:szCs w:val="22"/>
              </w:rPr>
              <w:t>LU</w:t>
            </w:r>
          </w:p>
        </w:tc>
        <w:tc>
          <w:tcPr>
            <w:tcW w:w="1913" w:type="dxa"/>
            <w:vAlign w:val="center"/>
          </w:tcPr>
          <w:p w14:paraId="4233501F" w14:textId="0975AEEA" w:rsidR="004B1E12" w:rsidRDefault="004B1E12" w:rsidP="004B1E12">
            <w:pPr>
              <w:ind w:firstLine="0"/>
              <w:jc w:val="right"/>
            </w:pPr>
            <w:r>
              <w:rPr>
                <w:rFonts w:ascii="Calibri" w:hAnsi="Calibri"/>
                <w:color w:val="000000"/>
              </w:rPr>
              <w:t xml:space="preserve">24 763 435 </w:t>
            </w:r>
          </w:p>
        </w:tc>
        <w:tc>
          <w:tcPr>
            <w:tcW w:w="1914" w:type="dxa"/>
            <w:vAlign w:val="bottom"/>
          </w:tcPr>
          <w:p w14:paraId="11E1106F" w14:textId="294B8B08" w:rsidR="004B1E12" w:rsidRPr="001849B0" w:rsidRDefault="004B1E12" w:rsidP="004B1E12">
            <w:pPr>
              <w:ind w:firstLine="0"/>
              <w:jc w:val="right"/>
              <w:rPr>
                <w:rFonts w:ascii="Calibri" w:hAnsi="Calibri"/>
                <w:color w:val="000000"/>
              </w:rPr>
            </w:pPr>
            <w:r w:rsidRPr="001849B0">
              <w:rPr>
                <w:rFonts w:ascii="Calibri" w:hAnsi="Calibri"/>
                <w:color w:val="000000"/>
              </w:rPr>
              <w:t>3 556 701</w:t>
            </w:r>
          </w:p>
        </w:tc>
        <w:tc>
          <w:tcPr>
            <w:tcW w:w="1914" w:type="dxa"/>
          </w:tcPr>
          <w:p w14:paraId="459584E9" w14:textId="030C1037" w:rsidR="004B1E12" w:rsidRPr="00FE0877" w:rsidRDefault="008D4351" w:rsidP="004B1E12">
            <w:pPr>
              <w:ind w:firstLine="0"/>
              <w:jc w:val="right"/>
              <w:rPr>
                <w:rFonts w:ascii="Calibri" w:hAnsi="Calibri"/>
                <w:color w:val="000000"/>
              </w:rPr>
            </w:pPr>
            <w:r w:rsidRPr="00FE0877">
              <w:rPr>
                <w:rFonts w:ascii="Calibri" w:hAnsi="Calibri"/>
                <w:color w:val="000000"/>
              </w:rPr>
              <w:t>11 360 572</w:t>
            </w:r>
          </w:p>
        </w:tc>
        <w:tc>
          <w:tcPr>
            <w:tcW w:w="1914" w:type="dxa"/>
            <w:vAlign w:val="bottom"/>
          </w:tcPr>
          <w:p w14:paraId="13E5D929" w14:textId="7982C6AF" w:rsidR="004B1E12" w:rsidRPr="001849B0" w:rsidRDefault="004B1E12" w:rsidP="004B1E12">
            <w:pPr>
              <w:ind w:firstLine="0"/>
              <w:jc w:val="right"/>
              <w:rPr>
                <w:rFonts w:ascii="Calibri" w:hAnsi="Calibri"/>
                <w:color w:val="000000"/>
              </w:rPr>
            </w:pPr>
            <w:r w:rsidRPr="001849B0">
              <w:rPr>
                <w:rFonts w:ascii="Calibri" w:hAnsi="Calibri"/>
                <w:color w:val="000000"/>
              </w:rPr>
              <w:t xml:space="preserve">1 553 454 </w:t>
            </w:r>
          </w:p>
        </w:tc>
      </w:tr>
      <w:tr w:rsidR="004B1E12" w14:paraId="35E32B5D" w14:textId="7BB3E0EF" w:rsidTr="0068132D">
        <w:tc>
          <w:tcPr>
            <w:tcW w:w="1418" w:type="dxa"/>
            <w:vAlign w:val="center"/>
          </w:tcPr>
          <w:p w14:paraId="76CF2EBD" w14:textId="4BABDE83" w:rsidR="004B1E12" w:rsidRDefault="004B1E12" w:rsidP="004B1E12">
            <w:pPr>
              <w:ind w:firstLine="0"/>
            </w:pPr>
            <w:r>
              <w:rPr>
                <w:rFonts w:ascii="Calibri" w:hAnsi="Calibri"/>
                <w:sz w:val="22"/>
                <w:szCs w:val="22"/>
              </w:rPr>
              <w:t>RTU</w:t>
            </w:r>
          </w:p>
        </w:tc>
        <w:tc>
          <w:tcPr>
            <w:tcW w:w="1913" w:type="dxa"/>
            <w:vAlign w:val="center"/>
          </w:tcPr>
          <w:p w14:paraId="0540FCE1" w14:textId="02C3F1F2" w:rsidR="004B1E12" w:rsidRDefault="004B1E12" w:rsidP="004B1E12">
            <w:pPr>
              <w:ind w:firstLine="0"/>
              <w:jc w:val="right"/>
            </w:pPr>
            <w:r>
              <w:rPr>
                <w:rFonts w:ascii="Calibri" w:hAnsi="Calibri"/>
                <w:color w:val="000000"/>
              </w:rPr>
              <w:t xml:space="preserve">26 262 667 </w:t>
            </w:r>
          </w:p>
        </w:tc>
        <w:tc>
          <w:tcPr>
            <w:tcW w:w="1914" w:type="dxa"/>
            <w:vAlign w:val="bottom"/>
          </w:tcPr>
          <w:p w14:paraId="757B21DF" w14:textId="52217B8F" w:rsidR="004B1E12" w:rsidRPr="001849B0" w:rsidRDefault="004B1E12" w:rsidP="004B1E12">
            <w:pPr>
              <w:ind w:firstLine="0"/>
              <w:jc w:val="right"/>
              <w:rPr>
                <w:rFonts w:ascii="Calibri" w:hAnsi="Calibri"/>
                <w:color w:val="000000"/>
              </w:rPr>
            </w:pPr>
            <w:r w:rsidRPr="001849B0">
              <w:rPr>
                <w:rFonts w:ascii="Calibri" w:hAnsi="Calibri"/>
                <w:color w:val="000000"/>
              </w:rPr>
              <w:t>3 545 433</w:t>
            </w:r>
          </w:p>
        </w:tc>
        <w:tc>
          <w:tcPr>
            <w:tcW w:w="1914" w:type="dxa"/>
          </w:tcPr>
          <w:p w14:paraId="2931ECBA" w14:textId="6DFACDCF" w:rsidR="004B1E12" w:rsidRPr="00FE0877" w:rsidRDefault="00C5501C" w:rsidP="004B1E12">
            <w:pPr>
              <w:ind w:firstLine="0"/>
              <w:jc w:val="right"/>
              <w:rPr>
                <w:rFonts w:ascii="Calibri" w:hAnsi="Calibri"/>
                <w:color w:val="000000"/>
              </w:rPr>
            </w:pPr>
            <w:r w:rsidRPr="00FE0877">
              <w:rPr>
                <w:rFonts w:ascii="Calibri" w:hAnsi="Calibri"/>
                <w:color w:val="000000"/>
              </w:rPr>
              <w:t>10 692 303</w:t>
            </w:r>
          </w:p>
        </w:tc>
        <w:tc>
          <w:tcPr>
            <w:tcW w:w="1914" w:type="dxa"/>
            <w:vAlign w:val="bottom"/>
          </w:tcPr>
          <w:p w14:paraId="481A595D" w14:textId="447D3261" w:rsidR="004B1E12" w:rsidRPr="001849B0" w:rsidRDefault="004B1E12" w:rsidP="004B1E12">
            <w:pPr>
              <w:ind w:firstLine="0"/>
              <w:jc w:val="right"/>
              <w:rPr>
                <w:rFonts w:ascii="Calibri" w:hAnsi="Calibri"/>
                <w:color w:val="000000"/>
              </w:rPr>
            </w:pPr>
            <w:r w:rsidRPr="001849B0">
              <w:rPr>
                <w:rFonts w:ascii="Calibri" w:hAnsi="Calibri"/>
                <w:color w:val="000000"/>
              </w:rPr>
              <w:t xml:space="preserve">949 543 </w:t>
            </w:r>
          </w:p>
        </w:tc>
      </w:tr>
      <w:tr w:rsidR="00593FA4" w14:paraId="0F05552A" w14:textId="77777777" w:rsidTr="0068132D">
        <w:tc>
          <w:tcPr>
            <w:tcW w:w="1418" w:type="dxa"/>
            <w:vAlign w:val="center"/>
          </w:tcPr>
          <w:p w14:paraId="1476E814" w14:textId="06918D48" w:rsidR="00593FA4" w:rsidRDefault="00593FA4" w:rsidP="00593FA4">
            <w:pPr>
              <w:ind w:firstLine="0"/>
              <w:rPr>
                <w:rFonts w:ascii="Calibri" w:hAnsi="Calibri"/>
                <w:sz w:val="22"/>
                <w:szCs w:val="22"/>
              </w:rPr>
            </w:pPr>
            <w:r>
              <w:rPr>
                <w:rFonts w:ascii="Calibri" w:hAnsi="Calibri"/>
                <w:sz w:val="22"/>
                <w:szCs w:val="22"/>
              </w:rPr>
              <w:t>RSU</w:t>
            </w:r>
          </w:p>
        </w:tc>
        <w:tc>
          <w:tcPr>
            <w:tcW w:w="1913" w:type="dxa"/>
            <w:vAlign w:val="center"/>
          </w:tcPr>
          <w:p w14:paraId="30B1F7F8" w14:textId="18E5C279" w:rsidR="00593FA4" w:rsidRDefault="00593FA4" w:rsidP="00593FA4">
            <w:pPr>
              <w:ind w:firstLine="0"/>
              <w:jc w:val="right"/>
              <w:rPr>
                <w:rFonts w:ascii="Calibri" w:hAnsi="Calibri"/>
                <w:color w:val="000000"/>
              </w:rPr>
            </w:pPr>
            <w:r>
              <w:rPr>
                <w:rFonts w:ascii="Calibri" w:hAnsi="Calibri"/>
                <w:color w:val="000000"/>
              </w:rPr>
              <w:t xml:space="preserve">26 193 568 </w:t>
            </w:r>
          </w:p>
        </w:tc>
        <w:tc>
          <w:tcPr>
            <w:tcW w:w="1914" w:type="dxa"/>
            <w:vAlign w:val="bottom"/>
          </w:tcPr>
          <w:p w14:paraId="3682C17B" w14:textId="41626217" w:rsidR="00593FA4" w:rsidRPr="001849B0" w:rsidRDefault="00593FA4" w:rsidP="00593FA4">
            <w:pPr>
              <w:ind w:firstLine="0"/>
              <w:jc w:val="right"/>
              <w:rPr>
                <w:rFonts w:ascii="Calibri" w:hAnsi="Calibri"/>
                <w:color w:val="000000"/>
              </w:rPr>
            </w:pPr>
            <w:r w:rsidRPr="001849B0">
              <w:rPr>
                <w:rFonts w:ascii="Calibri" w:hAnsi="Calibri"/>
                <w:color w:val="000000"/>
              </w:rPr>
              <w:t>1 618 363</w:t>
            </w:r>
          </w:p>
        </w:tc>
        <w:tc>
          <w:tcPr>
            <w:tcW w:w="1914" w:type="dxa"/>
          </w:tcPr>
          <w:p w14:paraId="51456419" w14:textId="7659E6CA" w:rsidR="00593FA4" w:rsidRPr="00FE0877" w:rsidRDefault="00593FA4" w:rsidP="00593FA4">
            <w:pPr>
              <w:ind w:firstLine="0"/>
              <w:jc w:val="right"/>
              <w:rPr>
                <w:rFonts w:ascii="Calibri" w:hAnsi="Calibri"/>
                <w:color w:val="000000"/>
              </w:rPr>
            </w:pPr>
            <w:r w:rsidRPr="00FE0877">
              <w:rPr>
                <w:rFonts w:ascii="Calibri" w:hAnsi="Calibri"/>
                <w:color w:val="000000"/>
              </w:rPr>
              <w:t>6 682 690</w:t>
            </w:r>
          </w:p>
        </w:tc>
        <w:tc>
          <w:tcPr>
            <w:tcW w:w="1914" w:type="dxa"/>
            <w:vAlign w:val="bottom"/>
          </w:tcPr>
          <w:p w14:paraId="6E1DF9CE" w14:textId="71F7DCCC" w:rsidR="00593FA4" w:rsidRPr="001849B0" w:rsidRDefault="00593FA4" w:rsidP="00593FA4">
            <w:pPr>
              <w:ind w:firstLine="0"/>
              <w:jc w:val="right"/>
              <w:rPr>
                <w:rFonts w:ascii="Calibri" w:hAnsi="Calibri"/>
                <w:color w:val="000000"/>
              </w:rPr>
            </w:pPr>
            <w:r w:rsidRPr="001849B0">
              <w:rPr>
                <w:rFonts w:ascii="Calibri" w:hAnsi="Calibri"/>
                <w:color w:val="000000"/>
              </w:rPr>
              <w:t xml:space="preserve">1 041 120 </w:t>
            </w:r>
          </w:p>
        </w:tc>
      </w:tr>
      <w:tr w:rsidR="004B1E12" w14:paraId="1CCAA021" w14:textId="530283D6" w:rsidTr="0068132D">
        <w:tc>
          <w:tcPr>
            <w:tcW w:w="1418" w:type="dxa"/>
            <w:vAlign w:val="center"/>
          </w:tcPr>
          <w:p w14:paraId="67035BCF" w14:textId="1B842CE5" w:rsidR="004B1E12" w:rsidRDefault="004B1E12" w:rsidP="004B1E12">
            <w:pPr>
              <w:ind w:firstLine="0"/>
            </w:pPr>
            <w:r>
              <w:rPr>
                <w:rFonts w:ascii="Calibri" w:hAnsi="Calibri"/>
                <w:sz w:val="22"/>
                <w:szCs w:val="22"/>
              </w:rPr>
              <w:t>LBTU</w:t>
            </w:r>
          </w:p>
        </w:tc>
        <w:tc>
          <w:tcPr>
            <w:tcW w:w="1913" w:type="dxa"/>
            <w:vAlign w:val="center"/>
          </w:tcPr>
          <w:p w14:paraId="06E609EA" w14:textId="32258777" w:rsidR="004B1E12" w:rsidRPr="002E3165" w:rsidRDefault="004B1E12" w:rsidP="004B1E12">
            <w:pPr>
              <w:ind w:firstLine="0"/>
              <w:jc w:val="right"/>
              <w:rPr>
                <w:highlight w:val="yellow"/>
              </w:rPr>
            </w:pPr>
            <w:r>
              <w:rPr>
                <w:rFonts w:ascii="Calibri" w:hAnsi="Calibri"/>
                <w:color w:val="000000"/>
              </w:rPr>
              <w:t xml:space="preserve">11 486 571 </w:t>
            </w:r>
          </w:p>
        </w:tc>
        <w:tc>
          <w:tcPr>
            <w:tcW w:w="1914" w:type="dxa"/>
            <w:vAlign w:val="bottom"/>
          </w:tcPr>
          <w:p w14:paraId="0D005897" w14:textId="698E0BFE" w:rsidR="004B1E12" w:rsidRPr="001849B0" w:rsidRDefault="004B1E12" w:rsidP="004B1E12">
            <w:pPr>
              <w:ind w:firstLine="0"/>
              <w:jc w:val="right"/>
              <w:rPr>
                <w:rFonts w:ascii="Calibri" w:hAnsi="Calibri"/>
                <w:color w:val="000000"/>
              </w:rPr>
            </w:pPr>
            <w:r w:rsidRPr="001849B0">
              <w:rPr>
                <w:rFonts w:ascii="Calibri" w:hAnsi="Calibri"/>
                <w:color w:val="000000"/>
              </w:rPr>
              <w:t>871 222</w:t>
            </w:r>
          </w:p>
        </w:tc>
        <w:tc>
          <w:tcPr>
            <w:tcW w:w="1914" w:type="dxa"/>
          </w:tcPr>
          <w:p w14:paraId="42171732" w14:textId="6E98304B" w:rsidR="004B1E12" w:rsidRPr="00FE0877" w:rsidRDefault="00C5501C" w:rsidP="004B1E12">
            <w:pPr>
              <w:ind w:firstLine="0"/>
              <w:jc w:val="right"/>
              <w:rPr>
                <w:rFonts w:ascii="Calibri" w:hAnsi="Calibri"/>
                <w:color w:val="000000"/>
              </w:rPr>
            </w:pPr>
            <w:r w:rsidRPr="00FE0877">
              <w:rPr>
                <w:rFonts w:ascii="Calibri" w:hAnsi="Calibri"/>
                <w:color w:val="000000"/>
              </w:rPr>
              <w:t>2 673 076</w:t>
            </w:r>
          </w:p>
        </w:tc>
        <w:tc>
          <w:tcPr>
            <w:tcW w:w="1914" w:type="dxa"/>
            <w:vAlign w:val="bottom"/>
          </w:tcPr>
          <w:p w14:paraId="0FC53D3A" w14:textId="120283CA" w:rsidR="004B1E12" w:rsidRPr="001849B0" w:rsidRDefault="004B1E12" w:rsidP="004B1E12">
            <w:pPr>
              <w:ind w:firstLine="0"/>
              <w:jc w:val="right"/>
              <w:rPr>
                <w:rFonts w:ascii="Calibri" w:hAnsi="Calibri"/>
                <w:color w:val="000000"/>
              </w:rPr>
            </w:pPr>
            <w:r w:rsidRPr="001849B0">
              <w:rPr>
                <w:rFonts w:ascii="Calibri" w:hAnsi="Calibri"/>
                <w:color w:val="000000"/>
              </w:rPr>
              <w:t xml:space="preserve">356 824 </w:t>
            </w:r>
          </w:p>
        </w:tc>
      </w:tr>
      <w:tr w:rsidR="00D07DE7" w14:paraId="7D0735AA" w14:textId="77777777" w:rsidTr="0068132D">
        <w:tc>
          <w:tcPr>
            <w:tcW w:w="1418" w:type="dxa"/>
            <w:vAlign w:val="center"/>
          </w:tcPr>
          <w:p w14:paraId="47AEDC07" w14:textId="74446E41" w:rsidR="00D07DE7" w:rsidRDefault="00D07DE7" w:rsidP="00D07DE7">
            <w:pPr>
              <w:ind w:firstLine="0"/>
              <w:rPr>
                <w:rFonts w:ascii="Calibri" w:hAnsi="Calibri"/>
                <w:sz w:val="22"/>
                <w:szCs w:val="22"/>
              </w:rPr>
            </w:pPr>
            <w:r>
              <w:rPr>
                <w:rFonts w:ascii="Calibri" w:hAnsi="Calibri"/>
                <w:sz w:val="22"/>
                <w:szCs w:val="22"/>
              </w:rPr>
              <w:t>DU</w:t>
            </w:r>
          </w:p>
        </w:tc>
        <w:tc>
          <w:tcPr>
            <w:tcW w:w="1913" w:type="dxa"/>
            <w:vAlign w:val="center"/>
          </w:tcPr>
          <w:p w14:paraId="1A3BD468" w14:textId="00469879" w:rsidR="00D07DE7" w:rsidRDefault="00D07DE7" w:rsidP="00D07DE7">
            <w:pPr>
              <w:ind w:firstLine="0"/>
              <w:jc w:val="right"/>
              <w:rPr>
                <w:rFonts w:ascii="Calibri" w:hAnsi="Calibri"/>
                <w:color w:val="000000"/>
              </w:rPr>
            </w:pPr>
            <w:r>
              <w:rPr>
                <w:rFonts w:ascii="Calibri" w:hAnsi="Calibri"/>
                <w:color w:val="000000"/>
              </w:rPr>
              <w:t xml:space="preserve">7 208 310 </w:t>
            </w:r>
          </w:p>
        </w:tc>
        <w:tc>
          <w:tcPr>
            <w:tcW w:w="1914" w:type="dxa"/>
            <w:vAlign w:val="bottom"/>
          </w:tcPr>
          <w:p w14:paraId="045067C9" w14:textId="2F53F9F4" w:rsidR="00D07DE7" w:rsidRPr="001849B0" w:rsidRDefault="00D07DE7" w:rsidP="00D07DE7">
            <w:pPr>
              <w:ind w:firstLine="0"/>
              <w:jc w:val="right"/>
              <w:rPr>
                <w:rFonts w:ascii="Calibri" w:hAnsi="Calibri"/>
                <w:color w:val="000000"/>
              </w:rPr>
            </w:pPr>
            <w:r w:rsidRPr="001849B0">
              <w:rPr>
                <w:rFonts w:ascii="Calibri" w:hAnsi="Calibri"/>
                <w:color w:val="000000"/>
              </w:rPr>
              <w:t>484 803</w:t>
            </w:r>
          </w:p>
        </w:tc>
        <w:tc>
          <w:tcPr>
            <w:tcW w:w="1914" w:type="dxa"/>
          </w:tcPr>
          <w:p w14:paraId="1BAA40DF" w14:textId="07A5C2FF" w:rsidR="00D07DE7" w:rsidRPr="00FE0877" w:rsidRDefault="00E747C2" w:rsidP="00D07DE7">
            <w:pPr>
              <w:ind w:firstLine="0"/>
              <w:jc w:val="right"/>
            </w:pPr>
            <w:r w:rsidRPr="00FE0877">
              <w:t>2 004 807</w:t>
            </w:r>
          </w:p>
        </w:tc>
        <w:tc>
          <w:tcPr>
            <w:tcW w:w="1914" w:type="dxa"/>
            <w:vAlign w:val="bottom"/>
          </w:tcPr>
          <w:p w14:paraId="6D875CFD" w14:textId="3E0B8ED7" w:rsidR="00D07DE7" w:rsidRPr="001849B0" w:rsidRDefault="00D07DE7" w:rsidP="00D07DE7">
            <w:pPr>
              <w:ind w:firstLine="0"/>
              <w:jc w:val="right"/>
              <w:rPr>
                <w:rFonts w:ascii="Calibri" w:hAnsi="Calibri"/>
                <w:color w:val="000000"/>
              </w:rPr>
            </w:pPr>
            <w:r w:rsidRPr="001849B0">
              <w:rPr>
                <w:rFonts w:ascii="Calibri" w:hAnsi="Calibri"/>
                <w:color w:val="000000"/>
              </w:rPr>
              <w:t xml:space="preserve">230 325 </w:t>
            </w:r>
          </w:p>
        </w:tc>
      </w:tr>
      <w:tr w:rsidR="00C5501C" w14:paraId="1C97D6FB" w14:textId="639DD3BF" w:rsidTr="0068132D">
        <w:tc>
          <w:tcPr>
            <w:tcW w:w="1418" w:type="dxa"/>
            <w:vAlign w:val="center"/>
          </w:tcPr>
          <w:p w14:paraId="52B1318B" w14:textId="4825C1C6" w:rsidR="00C5501C" w:rsidRDefault="00C5501C" w:rsidP="00C5501C">
            <w:pPr>
              <w:ind w:firstLine="0"/>
            </w:pPr>
            <w:r>
              <w:rPr>
                <w:rFonts w:ascii="Calibri" w:hAnsi="Calibri"/>
                <w:sz w:val="22"/>
                <w:szCs w:val="22"/>
              </w:rPr>
              <w:t>JVLMA</w:t>
            </w:r>
          </w:p>
        </w:tc>
        <w:tc>
          <w:tcPr>
            <w:tcW w:w="1913" w:type="dxa"/>
            <w:vAlign w:val="center"/>
          </w:tcPr>
          <w:p w14:paraId="72C67D95" w14:textId="796E4229" w:rsidR="00C5501C" w:rsidRDefault="00C5501C" w:rsidP="00C5501C">
            <w:pPr>
              <w:ind w:firstLine="0"/>
              <w:jc w:val="right"/>
            </w:pPr>
            <w:r>
              <w:rPr>
                <w:rFonts w:ascii="Calibri" w:hAnsi="Calibri"/>
                <w:color w:val="000000"/>
              </w:rPr>
              <w:t xml:space="preserve">4 430 978 </w:t>
            </w:r>
          </w:p>
        </w:tc>
        <w:tc>
          <w:tcPr>
            <w:tcW w:w="1914" w:type="dxa"/>
            <w:vAlign w:val="bottom"/>
          </w:tcPr>
          <w:p w14:paraId="67284501" w14:textId="549B86ED" w:rsidR="00C5501C" w:rsidRPr="001849B0" w:rsidRDefault="00C5501C" w:rsidP="00C5501C">
            <w:pPr>
              <w:ind w:firstLine="0"/>
              <w:jc w:val="right"/>
              <w:rPr>
                <w:rFonts w:ascii="Calibri" w:hAnsi="Calibri"/>
                <w:color w:val="000000"/>
              </w:rPr>
            </w:pPr>
            <w:r w:rsidRPr="001849B0">
              <w:rPr>
                <w:rFonts w:ascii="Calibri" w:hAnsi="Calibri"/>
                <w:color w:val="000000"/>
              </w:rPr>
              <w:t>341 516</w:t>
            </w:r>
          </w:p>
        </w:tc>
        <w:tc>
          <w:tcPr>
            <w:tcW w:w="1914" w:type="dxa"/>
          </w:tcPr>
          <w:p w14:paraId="43CCA009" w14:textId="2C46B7CE" w:rsidR="00C5501C" w:rsidRPr="00FE0877" w:rsidRDefault="00C5501C" w:rsidP="00C5501C">
            <w:pPr>
              <w:ind w:firstLine="0"/>
              <w:jc w:val="right"/>
              <w:rPr>
                <w:rFonts w:ascii="Calibri" w:hAnsi="Calibri"/>
                <w:color w:val="000000"/>
              </w:rPr>
            </w:pPr>
            <w:r w:rsidRPr="00FE0877">
              <w:t xml:space="preserve"> 668 269</w:t>
            </w:r>
          </w:p>
        </w:tc>
        <w:tc>
          <w:tcPr>
            <w:tcW w:w="1914" w:type="dxa"/>
            <w:vAlign w:val="bottom"/>
          </w:tcPr>
          <w:p w14:paraId="373C3A5D" w14:textId="17CDCB23" w:rsidR="00C5501C" w:rsidRPr="001849B0" w:rsidRDefault="00C5501C" w:rsidP="00C5501C">
            <w:pPr>
              <w:ind w:firstLine="0"/>
              <w:jc w:val="right"/>
              <w:rPr>
                <w:rFonts w:ascii="Calibri" w:hAnsi="Calibri"/>
                <w:color w:val="000000"/>
              </w:rPr>
            </w:pPr>
            <w:r w:rsidRPr="001849B0">
              <w:rPr>
                <w:rFonts w:ascii="Calibri" w:hAnsi="Calibri"/>
                <w:color w:val="000000"/>
              </w:rPr>
              <w:t xml:space="preserve">132 924 </w:t>
            </w:r>
          </w:p>
        </w:tc>
      </w:tr>
      <w:tr w:rsidR="00C5501C" w14:paraId="1F6E9874" w14:textId="77777777" w:rsidTr="0068132D">
        <w:tc>
          <w:tcPr>
            <w:tcW w:w="1418" w:type="dxa"/>
            <w:vAlign w:val="center"/>
          </w:tcPr>
          <w:p w14:paraId="645E8138" w14:textId="4B208C65" w:rsidR="00C5501C" w:rsidRDefault="00C5501C" w:rsidP="00C5501C">
            <w:pPr>
              <w:ind w:firstLine="0"/>
            </w:pPr>
            <w:r>
              <w:rPr>
                <w:rFonts w:ascii="Calibri" w:hAnsi="Calibri"/>
                <w:sz w:val="22"/>
                <w:szCs w:val="22"/>
              </w:rPr>
              <w:t>LMA</w:t>
            </w:r>
          </w:p>
        </w:tc>
        <w:tc>
          <w:tcPr>
            <w:tcW w:w="1913" w:type="dxa"/>
            <w:vAlign w:val="center"/>
          </w:tcPr>
          <w:p w14:paraId="18902BF8" w14:textId="442DDB12" w:rsidR="00C5501C" w:rsidRDefault="00C5501C" w:rsidP="00C5501C">
            <w:pPr>
              <w:ind w:firstLine="0"/>
              <w:jc w:val="right"/>
            </w:pPr>
            <w:r>
              <w:rPr>
                <w:rFonts w:ascii="Calibri" w:hAnsi="Calibri"/>
                <w:color w:val="000000"/>
              </w:rPr>
              <w:t xml:space="preserve">5 516 288 </w:t>
            </w:r>
          </w:p>
        </w:tc>
        <w:tc>
          <w:tcPr>
            <w:tcW w:w="1914" w:type="dxa"/>
            <w:vAlign w:val="bottom"/>
          </w:tcPr>
          <w:p w14:paraId="127E2BEB" w14:textId="675DCA2C" w:rsidR="00C5501C" w:rsidRPr="001849B0" w:rsidRDefault="00C5501C" w:rsidP="00C5501C">
            <w:pPr>
              <w:ind w:firstLine="0"/>
              <w:jc w:val="right"/>
              <w:rPr>
                <w:rFonts w:ascii="Calibri" w:hAnsi="Calibri"/>
                <w:color w:val="000000"/>
              </w:rPr>
            </w:pPr>
            <w:r w:rsidRPr="001849B0">
              <w:rPr>
                <w:rFonts w:ascii="Calibri" w:hAnsi="Calibri"/>
                <w:color w:val="000000"/>
              </w:rPr>
              <w:t>213 092</w:t>
            </w:r>
          </w:p>
        </w:tc>
        <w:tc>
          <w:tcPr>
            <w:tcW w:w="1914" w:type="dxa"/>
          </w:tcPr>
          <w:p w14:paraId="6DF38EC6" w14:textId="7641A4D0" w:rsidR="00C5501C" w:rsidRPr="00FE0877" w:rsidRDefault="00C5501C" w:rsidP="00C5501C">
            <w:pPr>
              <w:ind w:firstLine="0"/>
              <w:jc w:val="right"/>
              <w:rPr>
                <w:rFonts w:ascii="Calibri" w:hAnsi="Calibri"/>
                <w:color w:val="000000"/>
              </w:rPr>
            </w:pPr>
            <w:r w:rsidRPr="00FE0877">
              <w:t xml:space="preserve"> 668 269</w:t>
            </w:r>
          </w:p>
        </w:tc>
        <w:tc>
          <w:tcPr>
            <w:tcW w:w="1914" w:type="dxa"/>
            <w:vAlign w:val="bottom"/>
          </w:tcPr>
          <w:p w14:paraId="64BDA903" w14:textId="31C43646" w:rsidR="00C5501C" w:rsidRPr="001849B0" w:rsidRDefault="00C5501C" w:rsidP="00C5501C">
            <w:pPr>
              <w:ind w:firstLine="0"/>
              <w:jc w:val="right"/>
              <w:rPr>
                <w:rFonts w:ascii="Calibri" w:hAnsi="Calibri"/>
                <w:color w:val="000000"/>
              </w:rPr>
            </w:pPr>
            <w:r w:rsidRPr="001849B0">
              <w:rPr>
                <w:rFonts w:ascii="Calibri" w:hAnsi="Calibri"/>
                <w:color w:val="000000"/>
              </w:rPr>
              <w:t xml:space="preserve">120 549 </w:t>
            </w:r>
          </w:p>
        </w:tc>
      </w:tr>
      <w:tr w:rsidR="00C5501C" w14:paraId="58731E8B" w14:textId="77777777" w:rsidTr="0068132D">
        <w:tc>
          <w:tcPr>
            <w:tcW w:w="1418" w:type="dxa"/>
            <w:vAlign w:val="center"/>
          </w:tcPr>
          <w:p w14:paraId="70DB52A2" w14:textId="3AB6ED83" w:rsidR="00C5501C" w:rsidRDefault="00C5501C" w:rsidP="00C5501C">
            <w:pPr>
              <w:ind w:firstLine="0"/>
            </w:pPr>
            <w:r>
              <w:rPr>
                <w:rFonts w:ascii="Calibri" w:hAnsi="Calibri"/>
                <w:sz w:val="22"/>
                <w:szCs w:val="22"/>
              </w:rPr>
              <w:lastRenderedPageBreak/>
              <w:t>LKA</w:t>
            </w:r>
          </w:p>
        </w:tc>
        <w:tc>
          <w:tcPr>
            <w:tcW w:w="1913" w:type="dxa"/>
            <w:vAlign w:val="center"/>
          </w:tcPr>
          <w:p w14:paraId="28FE0F68" w14:textId="2E3A227F" w:rsidR="00C5501C" w:rsidRDefault="00C5501C" w:rsidP="00C5501C">
            <w:pPr>
              <w:ind w:firstLine="0"/>
              <w:jc w:val="right"/>
            </w:pPr>
            <w:r>
              <w:rPr>
                <w:rFonts w:ascii="Calibri" w:hAnsi="Calibri"/>
                <w:color w:val="000000"/>
              </w:rPr>
              <w:t xml:space="preserve">2 518 566 </w:t>
            </w:r>
          </w:p>
        </w:tc>
        <w:tc>
          <w:tcPr>
            <w:tcW w:w="1914" w:type="dxa"/>
            <w:vAlign w:val="bottom"/>
          </w:tcPr>
          <w:p w14:paraId="59E91E25" w14:textId="1421D639" w:rsidR="00C5501C" w:rsidRPr="001849B0" w:rsidRDefault="00C5501C" w:rsidP="00C5501C">
            <w:pPr>
              <w:ind w:firstLine="0"/>
              <w:jc w:val="right"/>
              <w:rPr>
                <w:rFonts w:ascii="Calibri" w:hAnsi="Calibri"/>
                <w:color w:val="000000"/>
              </w:rPr>
            </w:pPr>
            <w:r w:rsidRPr="001849B0">
              <w:rPr>
                <w:rFonts w:ascii="Calibri" w:hAnsi="Calibri"/>
                <w:color w:val="000000"/>
              </w:rPr>
              <w:t>500 793</w:t>
            </w:r>
          </w:p>
        </w:tc>
        <w:tc>
          <w:tcPr>
            <w:tcW w:w="1914" w:type="dxa"/>
          </w:tcPr>
          <w:p w14:paraId="35A1DAAE" w14:textId="4F5CBF2A" w:rsidR="00C5501C" w:rsidRPr="00FE0877" w:rsidRDefault="00C5501C" w:rsidP="00C5501C">
            <w:pPr>
              <w:ind w:firstLine="0"/>
              <w:jc w:val="right"/>
              <w:rPr>
                <w:rFonts w:ascii="Calibri" w:hAnsi="Calibri"/>
                <w:color w:val="000000"/>
              </w:rPr>
            </w:pPr>
            <w:r w:rsidRPr="00FE0877">
              <w:t xml:space="preserve"> 668 269</w:t>
            </w:r>
          </w:p>
        </w:tc>
        <w:tc>
          <w:tcPr>
            <w:tcW w:w="1914" w:type="dxa"/>
            <w:vAlign w:val="bottom"/>
          </w:tcPr>
          <w:p w14:paraId="7CB8064D" w14:textId="4F62D81F" w:rsidR="00C5501C" w:rsidRPr="001849B0" w:rsidRDefault="00C5501C" w:rsidP="00C5501C">
            <w:pPr>
              <w:ind w:firstLine="0"/>
              <w:jc w:val="right"/>
              <w:rPr>
                <w:rFonts w:ascii="Calibri" w:hAnsi="Calibri"/>
                <w:color w:val="000000"/>
              </w:rPr>
            </w:pPr>
            <w:r w:rsidRPr="001849B0">
              <w:rPr>
                <w:rFonts w:ascii="Calibri" w:hAnsi="Calibri"/>
                <w:color w:val="000000"/>
              </w:rPr>
              <w:t xml:space="preserve">122 296 </w:t>
            </w:r>
          </w:p>
        </w:tc>
      </w:tr>
      <w:tr w:rsidR="00C5501C" w14:paraId="22BE0971" w14:textId="77777777" w:rsidTr="0068132D">
        <w:tc>
          <w:tcPr>
            <w:tcW w:w="1418" w:type="dxa"/>
            <w:vAlign w:val="center"/>
          </w:tcPr>
          <w:p w14:paraId="536791DD" w14:textId="6F338979" w:rsidR="00C5501C" w:rsidRDefault="00C5501C" w:rsidP="00C5501C">
            <w:pPr>
              <w:ind w:firstLine="0"/>
            </w:pPr>
            <w:proofErr w:type="spellStart"/>
            <w:r>
              <w:rPr>
                <w:rFonts w:ascii="Calibri" w:hAnsi="Calibri"/>
                <w:sz w:val="22"/>
                <w:szCs w:val="22"/>
              </w:rPr>
              <w:t>LiepU</w:t>
            </w:r>
            <w:proofErr w:type="spellEnd"/>
            <w:r>
              <w:rPr>
                <w:rFonts w:ascii="Calibri" w:hAnsi="Calibri"/>
                <w:sz w:val="22"/>
                <w:szCs w:val="22"/>
              </w:rPr>
              <w:t>*</w:t>
            </w:r>
          </w:p>
        </w:tc>
        <w:tc>
          <w:tcPr>
            <w:tcW w:w="1913" w:type="dxa"/>
            <w:vAlign w:val="center"/>
          </w:tcPr>
          <w:p w14:paraId="47539D2F" w14:textId="074A3DA1" w:rsidR="00C5501C" w:rsidRDefault="00C5501C" w:rsidP="00C5501C">
            <w:pPr>
              <w:ind w:firstLine="0"/>
              <w:jc w:val="right"/>
            </w:pPr>
            <w:r>
              <w:rPr>
                <w:rFonts w:ascii="Calibri" w:hAnsi="Calibri"/>
                <w:color w:val="000000"/>
              </w:rPr>
              <w:t xml:space="preserve">2 924 913 </w:t>
            </w:r>
          </w:p>
        </w:tc>
        <w:tc>
          <w:tcPr>
            <w:tcW w:w="1914" w:type="dxa"/>
            <w:vAlign w:val="bottom"/>
          </w:tcPr>
          <w:p w14:paraId="677328BE" w14:textId="7124132F" w:rsidR="00C5501C" w:rsidRPr="001849B0" w:rsidRDefault="00C5501C" w:rsidP="00C5501C">
            <w:pPr>
              <w:ind w:firstLine="0"/>
              <w:jc w:val="right"/>
              <w:rPr>
                <w:rFonts w:ascii="Calibri" w:hAnsi="Calibri"/>
                <w:color w:val="000000"/>
              </w:rPr>
            </w:pPr>
            <w:r w:rsidRPr="001849B0">
              <w:rPr>
                <w:rFonts w:ascii="Calibri" w:hAnsi="Calibri"/>
                <w:color w:val="000000"/>
              </w:rPr>
              <w:t>284 233</w:t>
            </w:r>
          </w:p>
        </w:tc>
        <w:tc>
          <w:tcPr>
            <w:tcW w:w="1914" w:type="dxa"/>
          </w:tcPr>
          <w:p w14:paraId="6DC1DC01" w14:textId="00D6CAC0" w:rsidR="00C5501C" w:rsidRPr="00FE0877" w:rsidRDefault="00C5501C" w:rsidP="00C5501C">
            <w:pPr>
              <w:ind w:firstLine="0"/>
              <w:jc w:val="right"/>
              <w:rPr>
                <w:rFonts w:ascii="Calibri" w:hAnsi="Calibri"/>
                <w:color w:val="000000"/>
              </w:rPr>
            </w:pPr>
          </w:p>
        </w:tc>
        <w:tc>
          <w:tcPr>
            <w:tcW w:w="1914" w:type="dxa"/>
            <w:vAlign w:val="bottom"/>
          </w:tcPr>
          <w:p w14:paraId="4F973FCE" w14:textId="1E09FC0C" w:rsidR="00C5501C" w:rsidRPr="001849B0" w:rsidRDefault="00C5501C" w:rsidP="00C5501C">
            <w:pPr>
              <w:ind w:firstLine="0"/>
              <w:jc w:val="right"/>
              <w:rPr>
                <w:rFonts w:ascii="Calibri" w:hAnsi="Calibri"/>
                <w:color w:val="000000"/>
              </w:rPr>
            </w:pPr>
            <w:r w:rsidRPr="001849B0">
              <w:rPr>
                <w:rFonts w:ascii="Calibri" w:hAnsi="Calibri"/>
                <w:color w:val="000000"/>
              </w:rPr>
              <w:t xml:space="preserve">179 222 </w:t>
            </w:r>
          </w:p>
        </w:tc>
      </w:tr>
      <w:tr w:rsidR="00C5501C" w14:paraId="131A11F7" w14:textId="77777777" w:rsidTr="0068132D">
        <w:tc>
          <w:tcPr>
            <w:tcW w:w="1418" w:type="dxa"/>
            <w:vAlign w:val="center"/>
          </w:tcPr>
          <w:p w14:paraId="2D2AFCEE" w14:textId="16793D36" w:rsidR="00C5501C" w:rsidRDefault="00C5501C" w:rsidP="00C5501C">
            <w:pPr>
              <w:ind w:firstLine="0"/>
              <w:rPr>
                <w:rFonts w:ascii="Calibri" w:hAnsi="Calibri"/>
                <w:sz w:val="22"/>
                <w:szCs w:val="22"/>
              </w:rPr>
            </w:pPr>
            <w:proofErr w:type="spellStart"/>
            <w:r>
              <w:rPr>
                <w:rFonts w:ascii="Calibri" w:hAnsi="Calibri"/>
                <w:sz w:val="22"/>
                <w:szCs w:val="22"/>
              </w:rPr>
              <w:t>VeA</w:t>
            </w:r>
            <w:proofErr w:type="spellEnd"/>
          </w:p>
        </w:tc>
        <w:tc>
          <w:tcPr>
            <w:tcW w:w="1913" w:type="dxa"/>
            <w:vAlign w:val="center"/>
          </w:tcPr>
          <w:p w14:paraId="653606A2" w14:textId="442DFC56" w:rsidR="00C5501C" w:rsidRDefault="00C5501C" w:rsidP="00C5501C">
            <w:pPr>
              <w:ind w:firstLine="0"/>
              <w:jc w:val="right"/>
              <w:rPr>
                <w:rFonts w:ascii="Calibri" w:hAnsi="Calibri"/>
                <w:color w:val="000000"/>
              </w:rPr>
            </w:pPr>
            <w:r>
              <w:rPr>
                <w:rFonts w:ascii="Calibri" w:hAnsi="Calibri"/>
                <w:color w:val="000000"/>
              </w:rPr>
              <w:t xml:space="preserve">1 549 971 </w:t>
            </w:r>
          </w:p>
        </w:tc>
        <w:tc>
          <w:tcPr>
            <w:tcW w:w="1914" w:type="dxa"/>
            <w:vAlign w:val="bottom"/>
          </w:tcPr>
          <w:p w14:paraId="64A95C53" w14:textId="3336402A" w:rsidR="00C5501C" w:rsidRPr="001849B0" w:rsidRDefault="00C5501C" w:rsidP="00C5501C">
            <w:pPr>
              <w:ind w:firstLine="0"/>
              <w:jc w:val="right"/>
              <w:rPr>
                <w:rFonts w:ascii="Calibri" w:hAnsi="Calibri"/>
                <w:color w:val="000000"/>
              </w:rPr>
            </w:pPr>
            <w:r w:rsidRPr="001849B0">
              <w:rPr>
                <w:rFonts w:ascii="Calibri" w:hAnsi="Calibri"/>
                <w:color w:val="000000"/>
              </w:rPr>
              <w:t>341 073</w:t>
            </w:r>
          </w:p>
        </w:tc>
        <w:tc>
          <w:tcPr>
            <w:tcW w:w="1914" w:type="dxa"/>
          </w:tcPr>
          <w:p w14:paraId="5047D66F" w14:textId="43486BB1" w:rsidR="00C5501C" w:rsidRPr="00FE0877" w:rsidRDefault="00C5501C" w:rsidP="00C5501C">
            <w:pPr>
              <w:ind w:firstLine="0"/>
              <w:jc w:val="right"/>
              <w:rPr>
                <w:rFonts w:ascii="Calibri" w:hAnsi="Calibri"/>
                <w:color w:val="000000"/>
              </w:rPr>
            </w:pPr>
            <w:r w:rsidRPr="00FE0877">
              <w:rPr>
                <w:rFonts w:ascii="Calibri" w:hAnsi="Calibri"/>
                <w:color w:val="000000"/>
              </w:rPr>
              <w:t xml:space="preserve"> 668 269</w:t>
            </w:r>
          </w:p>
        </w:tc>
        <w:tc>
          <w:tcPr>
            <w:tcW w:w="1914" w:type="dxa"/>
            <w:vAlign w:val="bottom"/>
          </w:tcPr>
          <w:p w14:paraId="6EFA4AF2" w14:textId="4C58365F" w:rsidR="00C5501C" w:rsidRPr="001849B0" w:rsidRDefault="00C5501C" w:rsidP="00C5501C">
            <w:pPr>
              <w:ind w:firstLine="0"/>
              <w:jc w:val="right"/>
              <w:rPr>
                <w:rFonts w:ascii="Calibri" w:hAnsi="Calibri"/>
                <w:color w:val="000000"/>
              </w:rPr>
            </w:pPr>
            <w:r w:rsidRPr="001849B0">
              <w:rPr>
                <w:rFonts w:ascii="Calibri" w:hAnsi="Calibri"/>
                <w:color w:val="000000"/>
              </w:rPr>
              <w:t xml:space="preserve">48 045 </w:t>
            </w:r>
          </w:p>
        </w:tc>
      </w:tr>
      <w:tr w:rsidR="00C5501C" w14:paraId="3715D5F9" w14:textId="77777777" w:rsidTr="0068132D">
        <w:tc>
          <w:tcPr>
            <w:tcW w:w="1418" w:type="dxa"/>
            <w:vAlign w:val="center"/>
          </w:tcPr>
          <w:p w14:paraId="6F7CE846" w14:textId="3FBCC90B" w:rsidR="00C5501C" w:rsidRDefault="00C5501C" w:rsidP="00C5501C">
            <w:pPr>
              <w:ind w:firstLine="0"/>
            </w:pPr>
            <w:proofErr w:type="spellStart"/>
            <w:r>
              <w:rPr>
                <w:rFonts w:ascii="Calibri" w:hAnsi="Calibri"/>
                <w:sz w:val="22"/>
                <w:szCs w:val="22"/>
              </w:rPr>
              <w:t>ViA</w:t>
            </w:r>
            <w:proofErr w:type="spellEnd"/>
          </w:p>
        </w:tc>
        <w:tc>
          <w:tcPr>
            <w:tcW w:w="1913" w:type="dxa"/>
            <w:vAlign w:val="center"/>
          </w:tcPr>
          <w:p w14:paraId="25E7B66C" w14:textId="462AF4A6" w:rsidR="00C5501C" w:rsidRDefault="00C5501C" w:rsidP="00C5501C">
            <w:pPr>
              <w:ind w:firstLine="0"/>
              <w:jc w:val="right"/>
            </w:pPr>
            <w:r>
              <w:rPr>
                <w:rFonts w:ascii="Calibri" w:hAnsi="Calibri"/>
                <w:color w:val="000000"/>
              </w:rPr>
              <w:t xml:space="preserve">1 595 049 </w:t>
            </w:r>
          </w:p>
        </w:tc>
        <w:tc>
          <w:tcPr>
            <w:tcW w:w="1914" w:type="dxa"/>
            <w:vAlign w:val="bottom"/>
          </w:tcPr>
          <w:p w14:paraId="7C618F3E" w14:textId="1000E10C" w:rsidR="00C5501C" w:rsidRPr="001849B0" w:rsidRDefault="00C5501C" w:rsidP="00C5501C">
            <w:pPr>
              <w:ind w:firstLine="0"/>
              <w:jc w:val="right"/>
              <w:rPr>
                <w:rFonts w:ascii="Calibri" w:hAnsi="Calibri"/>
                <w:color w:val="000000"/>
              </w:rPr>
            </w:pPr>
            <w:r w:rsidRPr="001849B0">
              <w:rPr>
                <w:rFonts w:ascii="Calibri" w:hAnsi="Calibri"/>
                <w:color w:val="000000"/>
              </w:rPr>
              <w:t>195 577</w:t>
            </w:r>
          </w:p>
        </w:tc>
        <w:tc>
          <w:tcPr>
            <w:tcW w:w="1914" w:type="dxa"/>
          </w:tcPr>
          <w:p w14:paraId="454E23C7" w14:textId="14466283" w:rsidR="00C5501C" w:rsidRPr="00FE0877" w:rsidRDefault="00C5501C" w:rsidP="00C5501C">
            <w:pPr>
              <w:ind w:firstLine="0"/>
              <w:jc w:val="right"/>
              <w:rPr>
                <w:rFonts w:ascii="Calibri" w:hAnsi="Calibri"/>
                <w:color w:val="000000"/>
              </w:rPr>
            </w:pPr>
            <w:r w:rsidRPr="00FE0877">
              <w:t xml:space="preserve"> 668 269</w:t>
            </w:r>
          </w:p>
        </w:tc>
        <w:tc>
          <w:tcPr>
            <w:tcW w:w="1914" w:type="dxa"/>
            <w:vAlign w:val="bottom"/>
          </w:tcPr>
          <w:p w14:paraId="051D0E9B" w14:textId="00172996" w:rsidR="00C5501C" w:rsidRPr="001849B0" w:rsidRDefault="00C5501C" w:rsidP="00C5501C">
            <w:pPr>
              <w:ind w:firstLine="0"/>
              <w:jc w:val="right"/>
              <w:rPr>
                <w:rFonts w:ascii="Calibri" w:hAnsi="Calibri"/>
                <w:color w:val="000000"/>
              </w:rPr>
            </w:pPr>
            <w:r w:rsidRPr="001849B0">
              <w:rPr>
                <w:rFonts w:ascii="Calibri" w:hAnsi="Calibri"/>
                <w:color w:val="000000"/>
              </w:rPr>
              <w:t xml:space="preserve">52 413 </w:t>
            </w:r>
          </w:p>
        </w:tc>
      </w:tr>
      <w:tr w:rsidR="00C5501C" w14:paraId="355CB836" w14:textId="77777777" w:rsidTr="0068132D">
        <w:tc>
          <w:tcPr>
            <w:tcW w:w="1418" w:type="dxa"/>
            <w:vAlign w:val="center"/>
          </w:tcPr>
          <w:p w14:paraId="5BBE95B6" w14:textId="272DD866" w:rsidR="00C5501C" w:rsidRDefault="00C5501C" w:rsidP="00C5501C">
            <w:pPr>
              <w:ind w:firstLine="0"/>
            </w:pPr>
            <w:r>
              <w:rPr>
                <w:rFonts w:ascii="Calibri" w:hAnsi="Calibri"/>
                <w:sz w:val="22"/>
                <w:szCs w:val="22"/>
              </w:rPr>
              <w:t>RTA*</w:t>
            </w:r>
          </w:p>
        </w:tc>
        <w:tc>
          <w:tcPr>
            <w:tcW w:w="1913" w:type="dxa"/>
            <w:vAlign w:val="center"/>
          </w:tcPr>
          <w:p w14:paraId="3982424E" w14:textId="78F84FC1" w:rsidR="00C5501C" w:rsidRDefault="00C5501C" w:rsidP="00C5501C">
            <w:pPr>
              <w:ind w:firstLine="0"/>
              <w:jc w:val="right"/>
            </w:pPr>
            <w:r>
              <w:rPr>
                <w:rFonts w:ascii="Calibri" w:hAnsi="Calibri"/>
                <w:color w:val="000000"/>
              </w:rPr>
              <w:t xml:space="preserve">2 714 072 </w:t>
            </w:r>
          </w:p>
        </w:tc>
        <w:tc>
          <w:tcPr>
            <w:tcW w:w="1914" w:type="dxa"/>
            <w:vAlign w:val="bottom"/>
          </w:tcPr>
          <w:p w14:paraId="4339CF18" w14:textId="0CC63D4A" w:rsidR="00C5501C" w:rsidRPr="001849B0" w:rsidRDefault="00C5501C" w:rsidP="00C5501C">
            <w:pPr>
              <w:ind w:firstLine="0"/>
              <w:jc w:val="right"/>
              <w:rPr>
                <w:rFonts w:ascii="Calibri" w:hAnsi="Calibri"/>
                <w:color w:val="000000"/>
              </w:rPr>
            </w:pPr>
            <w:r w:rsidRPr="001849B0">
              <w:rPr>
                <w:rFonts w:ascii="Calibri" w:hAnsi="Calibri"/>
                <w:color w:val="000000"/>
              </w:rPr>
              <w:t>176 026</w:t>
            </w:r>
          </w:p>
        </w:tc>
        <w:tc>
          <w:tcPr>
            <w:tcW w:w="1914" w:type="dxa"/>
          </w:tcPr>
          <w:p w14:paraId="55368659" w14:textId="4B2CE724" w:rsidR="00C5501C" w:rsidRPr="00FE0877" w:rsidRDefault="00C5501C" w:rsidP="00C5501C">
            <w:pPr>
              <w:ind w:firstLine="0"/>
              <w:jc w:val="right"/>
              <w:rPr>
                <w:rFonts w:ascii="Calibri" w:hAnsi="Calibri"/>
                <w:color w:val="000000"/>
              </w:rPr>
            </w:pPr>
          </w:p>
        </w:tc>
        <w:tc>
          <w:tcPr>
            <w:tcW w:w="1914" w:type="dxa"/>
            <w:vAlign w:val="bottom"/>
          </w:tcPr>
          <w:p w14:paraId="79C48C08" w14:textId="13A30F13" w:rsidR="00C5501C" w:rsidRPr="001849B0" w:rsidRDefault="00C5501C" w:rsidP="00C5501C">
            <w:pPr>
              <w:ind w:firstLine="0"/>
              <w:jc w:val="right"/>
              <w:rPr>
                <w:rFonts w:ascii="Calibri" w:hAnsi="Calibri"/>
                <w:color w:val="000000"/>
              </w:rPr>
            </w:pPr>
            <w:r w:rsidRPr="001849B0">
              <w:rPr>
                <w:rFonts w:ascii="Calibri" w:hAnsi="Calibri"/>
                <w:color w:val="000000"/>
              </w:rPr>
              <w:t xml:space="preserve">147 047 </w:t>
            </w:r>
          </w:p>
        </w:tc>
      </w:tr>
      <w:tr w:rsidR="00C5501C" w14:paraId="07A201DF" w14:textId="77777777" w:rsidTr="0068132D">
        <w:tc>
          <w:tcPr>
            <w:tcW w:w="1418" w:type="dxa"/>
            <w:vAlign w:val="center"/>
          </w:tcPr>
          <w:p w14:paraId="4113D2D3" w14:textId="24D39B32" w:rsidR="00C5501C" w:rsidRDefault="00C5501C" w:rsidP="00C5501C">
            <w:pPr>
              <w:ind w:firstLine="0"/>
            </w:pPr>
            <w:r>
              <w:rPr>
                <w:rFonts w:ascii="Calibri" w:hAnsi="Calibri"/>
                <w:sz w:val="22"/>
                <w:szCs w:val="22"/>
              </w:rPr>
              <w:t>LSPA*</w:t>
            </w:r>
          </w:p>
        </w:tc>
        <w:tc>
          <w:tcPr>
            <w:tcW w:w="1913" w:type="dxa"/>
            <w:vAlign w:val="center"/>
          </w:tcPr>
          <w:p w14:paraId="308BAF03" w14:textId="69189BF1" w:rsidR="00C5501C" w:rsidRDefault="00C5501C" w:rsidP="00C5501C">
            <w:pPr>
              <w:ind w:firstLine="0"/>
              <w:jc w:val="right"/>
            </w:pPr>
            <w:r>
              <w:rPr>
                <w:rFonts w:ascii="Calibri" w:hAnsi="Calibri"/>
                <w:color w:val="000000"/>
              </w:rPr>
              <w:t xml:space="preserve">1 858 842 </w:t>
            </w:r>
          </w:p>
        </w:tc>
        <w:tc>
          <w:tcPr>
            <w:tcW w:w="1914" w:type="dxa"/>
            <w:vAlign w:val="bottom"/>
          </w:tcPr>
          <w:p w14:paraId="4B04D70B" w14:textId="2C29EEA4" w:rsidR="00C5501C" w:rsidRPr="001849B0" w:rsidRDefault="00C5501C" w:rsidP="00C5501C">
            <w:pPr>
              <w:ind w:firstLine="0"/>
              <w:jc w:val="right"/>
              <w:rPr>
                <w:rFonts w:ascii="Calibri" w:hAnsi="Calibri"/>
                <w:color w:val="000000"/>
              </w:rPr>
            </w:pPr>
            <w:r w:rsidRPr="001849B0">
              <w:rPr>
                <w:rFonts w:ascii="Calibri" w:hAnsi="Calibri"/>
                <w:color w:val="000000"/>
              </w:rPr>
              <w:t>147 677</w:t>
            </w:r>
          </w:p>
        </w:tc>
        <w:tc>
          <w:tcPr>
            <w:tcW w:w="1914" w:type="dxa"/>
          </w:tcPr>
          <w:p w14:paraId="79C5CF11" w14:textId="14AC342E" w:rsidR="00C5501C" w:rsidRPr="00FE0877" w:rsidRDefault="00C5501C" w:rsidP="00C5501C">
            <w:pPr>
              <w:ind w:firstLine="0"/>
              <w:jc w:val="right"/>
              <w:rPr>
                <w:rFonts w:ascii="Calibri" w:hAnsi="Calibri"/>
                <w:color w:val="000000"/>
              </w:rPr>
            </w:pPr>
          </w:p>
        </w:tc>
        <w:tc>
          <w:tcPr>
            <w:tcW w:w="1914" w:type="dxa"/>
            <w:vAlign w:val="bottom"/>
          </w:tcPr>
          <w:p w14:paraId="5533036A" w14:textId="71860C7D" w:rsidR="00C5501C" w:rsidRPr="001849B0" w:rsidRDefault="00C5501C" w:rsidP="00C5501C">
            <w:pPr>
              <w:ind w:firstLine="0"/>
              <w:jc w:val="right"/>
              <w:rPr>
                <w:rFonts w:ascii="Calibri" w:hAnsi="Calibri"/>
                <w:color w:val="000000"/>
              </w:rPr>
            </w:pPr>
            <w:r w:rsidRPr="001849B0">
              <w:rPr>
                <w:rFonts w:ascii="Calibri" w:hAnsi="Calibri"/>
                <w:color w:val="000000"/>
              </w:rPr>
              <w:t xml:space="preserve">102 059 </w:t>
            </w:r>
          </w:p>
        </w:tc>
      </w:tr>
      <w:tr w:rsidR="00C5501C" w14:paraId="7DEFE634" w14:textId="77777777" w:rsidTr="0068132D">
        <w:tc>
          <w:tcPr>
            <w:tcW w:w="1418" w:type="dxa"/>
            <w:vAlign w:val="center"/>
          </w:tcPr>
          <w:p w14:paraId="6D2E8E97" w14:textId="64F59458" w:rsidR="00C5501C" w:rsidRDefault="00C5501C" w:rsidP="00C5501C">
            <w:pPr>
              <w:ind w:firstLine="0"/>
            </w:pPr>
            <w:r>
              <w:rPr>
                <w:rFonts w:ascii="Calibri" w:hAnsi="Calibri"/>
                <w:sz w:val="22"/>
                <w:szCs w:val="22"/>
              </w:rPr>
              <w:t>BA*</w:t>
            </w:r>
          </w:p>
        </w:tc>
        <w:tc>
          <w:tcPr>
            <w:tcW w:w="1913" w:type="dxa"/>
            <w:vAlign w:val="center"/>
          </w:tcPr>
          <w:p w14:paraId="2E213B1B" w14:textId="17DC9323" w:rsidR="00C5501C" w:rsidRDefault="00C5501C" w:rsidP="00C5501C">
            <w:pPr>
              <w:ind w:firstLine="0"/>
              <w:jc w:val="right"/>
            </w:pPr>
            <w:r>
              <w:rPr>
                <w:rFonts w:ascii="Calibri" w:hAnsi="Calibri"/>
                <w:color w:val="000000"/>
              </w:rPr>
              <w:t xml:space="preserve">178 933 </w:t>
            </w:r>
          </w:p>
        </w:tc>
        <w:tc>
          <w:tcPr>
            <w:tcW w:w="1914" w:type="dxa"/>
            <w:vAlign w:val="bottom"/>
          </w:tcPr>
          <w:p w14:paraId="7FF77796" w14:textId="5FB4CA3D" w:rsidR="00C5501C" w:rsidRPr="001849B0" w:rsidRDefault="00C5501C" w:rsidP="00C5501C">
            <w:pPr>
              <w:ind w:firstLine="0"/>
              <w:jc w:val="right"/>
              <w:rPr>
                <w:rFonts w:ascii="Calibri" w:hAnsi="Calibri"/>
                <w:color w:val="000000"/>
              </w:rPr>
            </w:pPr>
            <w:r w:rsidRPr="001849B0">
              <w:rPr>
                <w:rFonts w:ascii="Calibri" w:hAnsi="Calibri"/>
                <w:color w:val="000000"/>
              </w:rPr>
              <w:t>138 412</w:t>
            </w:r>
          </w:p>
        </w:tc>
        <w:tc>
          <w:tcPr>
            <w:tcW w:w="1914" w:type="dxa"/>
          </w:tcPr>
          <w:p w14:paraId="4BE54536" w14:textId="2D5A82DB" w:rsidR="00C5501C" w:rsidRPr="00FE0877" w:rsidRDefault="00C5501C" w:rsidP="00C5501C">
            <w:pPr>
              <w:ind w:firstLine="0"/>
              <w:jc w:val="right"/>
              <w:rPr>
                <w:rFonts w:ascii="Calibri" w:hAnsi="Calibri"/>
                <w:color w:val="000000"/>
              </w:rPr>
            </w:pPr>
          </w:p>
        </w:tc>
        <w:tc>
          <w:tcPr>
            <w:tcW w:w="1914" w:type="dxa"/>
            <w:vAlign w:val="bottom"/>
          </w:tcPr>
          <w:p w14:paraId="65935BBB" w14:textId="3E9A14EF" w:rsidR="00C5501C" w:rsidRPr="001849B0" w:rsidRDefault="00C5501C" w:rsidP="00C5501C">
            <w:pPr>
              <w:ind w:firstLine="0"/>
              <w:jc w:val="right"/>
              <w:rPr>
                <w:rFonts w:ascii="Calibri" w:hAnsi="Calibri"/>
                <w:color w:val="000000"/>
              </w:rPr>
            </w:pPr>
            <w:r w:rsidRPr="001849B0">
              <w:rPr>
                <w:rFonts w:ascii="Calibri" w:hAnsi="Calibri"/>
                <w:color w:val="000000"/>
              </w:rPr>
              <w:t xml:space="preserve">72 504 </w:t>
            </w:r>
          </w:p>
        </w:tc>
      </w:tr>
      <w:tr w:rsidR="00C5501C" w14:paraId="093C8B21" w14:textId="77777777" w:rsidTr="0068132D">
        <w:tc>
          <w:tcPr>
            <w:tcW w:w="1418" w:type="dxa"/>
            <w:vAlign w:val="center"/>
          </w:tcPr>
          <w:p w14:paraId="2C903ABE" w14:textId="339E9092" w:rsidR="00C5501C" w:rsidRDefault="00C5501C" w:rsidP="00C5501C">
            <w:pPr>
              <w:ind w:firstLine="0"/>
            </w:pPr>
            <w:r>
              <w:t>Koledžas</w:t>
            </w:r>
            <w:r>
              <w:rPr>
                <w:rStyle w:val="FootnoteReference"/>
              </w:rPr>
              <w:footnoteReference w:id="36"/>
            </w:r>
          </w:p>
        </w:tc>
        <w:tc>
          <w:tcPr>
            <w:tcW w:w="1913" w:type="dxa"/>
            <w:vAlign w:val="center"/>
          </w:tcPr>
          <w:p w14:paraId="342A507C" w14:textId="0FBB8871" w:rsidR="00C5501C" w:rsidRDefault="00C5501C" w:rsidP="00C5501C">
            <w:pPr>
              <w:ind w:firstLine="0"/>
              <w:jc w:val="right"/>
            </w:pPr>
            <w:r w:rsidRPr="00E43845">
              <w:rPr>
                <w:rFonts w:ascii="Calibri" w:hAnsi="Calibri"/>
                <w:color w:val="000000"/>
              </w:rPr>
              <w:t>13 041 497</w:t>
            </w:r>
          </w:p>
        </w:tc>
        <w:tc>
          <w:tcPr>
            <w:tcW w:w="1914" w:type="dxa"/>
            <w:vAlign w:val="bottom"/>
          </w:tcPr>
          <w:p w14:paraId="34B5FA67" w14:textId="35BF7CFF" w:rsidR="00C5501C" w:rsidRPr="001849B0" w:rsidRDefault="00C5501C" w:rsidP="00C5501C">
            <w:pPr>
              <w:ind w:firstLine="0"/>
              <w:jc w:val="right"/>
              <w:rPr>
                <w:rFonts w:ascii="Calibri" w:hAnsi="Calibri"/>
                <w:color w:val="000000"/>
              </w:rPr>
            </w:pPr>
            <w:r w:rsidRPr="001849B0">
              <w:rPr>
                <w:rFonts w:ascii="Calibri" w:hAnsi="Calibri"/>
                <w:color w:val="000000"/>
              </w:rPr>
              <w:t>810 907</w:t>
            </w:r>
          </w:p>
        </w:tc>
        <w:tc>
          <w:tcPr>
            <w:tcW w:w="1914" w:type="dxa"/>
          </w:tcPr>
          <w:p w14:paraId="565E6722" w14:textId="7F8958EB" w:rsidR="00C5501C" w:rsidRPr="00FE0877" w:rsidRDefault="00C5501C" w:rsidP="00C5501C">
            <w:pPr>
              <w:ind w:firstLine="0"/>
              <w:jc w:val="right"/>
              <w:rPr>
                <w:rFonts w:ascii="Calibri" w:hAnsi="Calibri"/>
                <w:color w:val="000000"/>
              </w:rPr>
            </w:pPr>
          </w:p>
        </w:tc>
        <w:tc>
          <w:tcPr>
            <w:tcW w:w="1914" w:type="dxa"/>
            <w:vAlign w:val="bottom"/>
          </w:tcPr>
          <w:p w14:paraId="76DFA4C3" w14:textId="4A412BE9" w:rsidR="00C5501C" w:rsidRPr="001849B0" w:rsidRDefault="00C5501C" w:rsidP="00C5501C">
            <w:pPr>
              <w:ind w:firstLine="0"/>
              <w:jc w:val="right"/>
              <w:rPr>
                <w:rFonts w:ascii="Calibri" w:hAnsi="Calibri"/>
                <w:color w:val="000000"/>
              </w:rPr>
            </w:pPr>
            <w:r w:rsidRPr="001849B0">
              <w:rPr>
                <w:rFonts w:ascii="Calibri" w:hAnsi="Calibri"/>
                <w:color w:val="000000"/>
              </w:rPr>
              <w:t>841 675</w:t>
            </w:r>
          </w:p>
        </w:tc>
      </w:tr>
      <w:tr w:rsidR="00C5501C" w14:paraId="28E7C6ED" w14:textId="77777777" w:rsidTr="0068132D">
        <w:tc>
          <w:tcPr>
            <w:tcW w:w="1418" w:type="dxa"/>
            <w:vAlign w:val="center"/>
          </w:tcPr>
          <w:p w14:paraId="1AA951C6" w14:textId="5EAE20D7" w:rsidR="00C5501C" w:rsidRPr="00E8131F" w:rsidRDefault="00C5501C" w:rsidP="00C5501C">
            <w:pPr>
              <w:ind w:firstLine="0"/>
            </w:pPr>
            <w:r>
              <w:rPr>
                <w:b/>
                <w:bCs/>
              </w:rPr>
              <w:t>Kopā</w:t>
            </w:r>
          </w:p>
        </w:tc>
        <w:tc>
          <w:tcPr>
            <w:tcW w:w="1913" w:type="dxa"/>
            <w:vAlign w:val="center"/>
          </w:tcPr>
          <w:p w14:paraId="6CB2D745" w14:textId="7B48FCA0" w:rsidR="00C5501C" w:rsidRPr="00E43845" w:rsidRDefault="00C5501C" w:rsidP="00C5501C">
            <w:pPr>
              <w:ind w:firstLine="0"/>
              <w:jc w:val="right"/>
              <w:rPr>
                <w:rFonts w:ascii="Calibri" w:hAnsi="Calibri"/>
                <w:color w:val="000000"/>
              </w:rPr>
            </w:pPr>
            <w:r w:rsidRPr="00F20583">
              <w:rPr>
                <w:rFonts w:ascii="Calibri" w:hAnsi="Calibri"/>
                <w:color w:val="000000"/>
              </w:rPr>
              <w:t>132 243 660</w:t>
            </w:r>
          </w:p>
        </w:tc>
        <w:tc>
          <w:tcPr>
            <w:tcW w:w="1914" w:type="dxa"/>
            <w:vAlign w:val="center"/>
          </w:tcPr>
          <w:p w14:paraId="1CCF0F02" w14:textId="0E2B1FA0" w:rsidR="00C5501C" w:rsidRPr="001849B0" w:rsidRDefault="00C5501C" w:rsidP="00C5501C">
            <w:pPr>
              <w:ind w:firstLine="0"/>
              <w:jc w:val="right"/>
              <w:rPr>
                <w:rFonts w:ascii="Calibri" w:hAnsi="Calibri"/>
                <w:color w:val="000000"/>
              </w:rPr>
            </w:pPr>
            <w:r w:rsidRPr="001849B0">
              <w:rPr>
                <w:rFonts w:ascii="Calibri" w:hAnsi="Calibri"/>
                <w:color w:val="000000"/>
              </w:rPr>
              <w:t>13 225 828</w:t>
            </w:r>
          </w:p>
        </w:tc>
        <w:tc>
          <w:tcPr>
            <w:tcW w:w="1914" w:type="dxa"/>
          </w:tcPr>
          <w:p w14:paraId="23F950B4" w14:textId="37689876" w:rsidR="00C5501C" w:rsidRPr="00FE0877" w:rsidRDefault="00F14B9E" w:rsidP="00C5501C">
            <w:pPr>
              <w:ind w:firstLine="0"/>
              <w:jc w:val="right"/>
              <w:rPr>
                <w:rFonts w:ascii="Calibri" w:hAnsi="Calibri"/>
                <w:color w:val="000000"/>
              </w:rPr>
            </w:pPr>
            <w:r w:rsidRPr="00FE0877">
              <w:rPr>
                <w:rFonts w:ascii="Calibri" w:hAnsi="Calibri"/>
                <w:color w:val="000000"/>
              </w:rPr>
              <w:t>36 754 793</w:t>
            </w:r>
          </w:p>
        </w:tc>
        <w:tc>
          <w:tcPr>
            <w:tcW w:w="1914" w:type="dxa"/>
            <w:vAlign w:val="bottom"/>
          </w:tcPr>
          <w:p w14:paraId="5D50C6E7" w14:textId="75D63067" w:rsidR="00C5501C" w:rsidRPr="001849B0" w:rsidRDefault="00C5501C" w:rsidP="00C5501C">
            <w:pPr>
              <w:ind w:firstLine="0"/>
              <w:jc w:val="right"/>
              <w:rPr>
                <w:rFonts w:ascii="Calibri" w:hAnsi="Calibri"/>
                <w:color w:val="000000"/>
              </w:rPr>
            </w:pPr>
            <w:r w:rsidRPr="001849B0">
              <w:rPr>
                <w:rFonts w:ascii="Calibri" w:hAnsi="Calibri"/>
                <w:color w:val="000000"/>
              </w:rPr>
              <w:t xml:space="preserve">5 950 000 </w:t>
            </w:r>
          </w:p>
        </w:tc>
      </w:tr>
    </w:tbl>
    <w:p w14:paraId="1963D0A8" w14:textId="51526449" w:rsidR="002E2D49" w:rsidRPr="00784156" w:rsidRDefault="00110F7D" w:rsidP="00110F7D">
      <w:pPr>
        <w:ind w:firstLine="0"/>
        <w:rPr>
          <w:i/>
          <w:iCs/>
        </w:rPr>
      </w:pPr>
      <w:r w:rsidRPr="00784156">
        <w:rPr>
          <w:i/>
          <w:iCs/>
        </w:rPr>
        <w:t>*</w:t>
      </w:r>
      <w:r w:rsidR="009A4D05">
        <w:rPr>
          <w:i/>
          <w:iCs/>
        </w:rPr>
        <w:t xml:space="preserve"> Iestādes tiks konsolidētas</w:t>
      </w:r>
      <w:r w:rsidR="001C0E7E">
        <w:rPr>
          <w:i/>
          <w:iCs/>
        </w:rPr>
        <w:t>, fi</w:t>
      </w:r>
      <w:r w:rsidR="00857032">
        <w:rPr>
          <w:i/>
          <w:iCs/>
        </w:rPr>
        <w:t xml:space="preserve">nansējums institucionālā finansējuma </w:t>
      </w:r>
      <w:proofErr w:type="spellStart"/>
      <w:r w:rsidR="00910A87">
        <w:rPr>
          <w:i/>
          <w:iCs/>
        </w:rPr>
        <w:t>izmēģinājumprojektā</w:t>
      </w:r>
      <w:proofErr w:type="spellEnd"/>
      <w:r w:rsidR="00910A87">
        <w:rPr>
          <w:i/>
          <w:iCs/>
        </w:rPr>
        <w:t xml:space="preserve"> aprēķināts iestādēm, pie kurām tiks konsolidēts saskaņā ar 6. tabulu</w:t>
      </w:r>
    </w:p>
    <w:p w14:paraId="49D7499A" w14:textId="77777777" w:rsidR="00E771A9" w:rsidRPr="002A7D65" w:rsidRDefault="00E771A9" w:rsidP="00E771A9">
      <w:pPr>
        <w:pStyle w:val="Heading2"/>
      </w:pPr>
      <w:bookmarkStart w:id="31" w:name="_Toc167452334"/>
      <w:r w:rsidRPr="002A7D65">
        <w:t>Scenārijs A – Esošais Finansējums</w:t>
      </w:r>
      <w:bookmarkEnd w:id="31"/>
    </w:p>
    <w:p w14:paraId="632F6B84" w14:textId="54C53E24" w:rsidR="00E771A9" w:rsidRPr="002A7D65" w:rsidRDefault="00E771A9" w:rsidP="00E771A9">
      <w:r w:rsidRPr="002A7D65">
        <w:t xml:space="preserve">A scenārija ietvaros tiktu pilnveidota augstākās izglītības finansēšanas sistēma ņemot vērā līdz šim piešķirto finansējuma apmēru. Šis scenārijs būtu nulles ietekmi uz budžetu, bet ierobežotu iespējas veidot turpmāku augstākās izglītības attīstību pēc institucionālā finansējuma </w:t>
      </w:r>
      <w:proofErr w:type="spellStart"/>
      <w:r w:rsidRPr="002A7D65">
        <w:t>izmēģinājumprojekt</w:t>
      </w:r>
      <w:r w:rsidR="003E4DC7">
        <w:t>a</w:t>
      </w:r>
      <w:proofErr w:type="spellEnd"/>
      <w:r w:rsidR="00E46134">
        <w:t xml:space="preserve">, jo pārējām iestādēm, kas nepiedalījās </w:t>
      </w:r>
      <w:proofErr w:type="spellStart"/>
      <w:r w:rsidR="00E46134">
        <w:t>izmēģinājumprojektā</w:t>
      </w:r>
      <w:proofErr w:type="spellEnd"/>
      <w:r w:rsidR="00E46134">
        <w:t>, institucionālais finansējums tiktu ieviests bez papildu finansējuma.</w:t>
      </w:r>
    </w:p>
    <w:p w14:paraId="504AC37C" w14:textId="77777777" w:rsidR="005F1CA7" w:rsidRDefault="005F1CA7" w:rsidP="005F1CA7">
      <w:pPr>
        <w:pStyle w:val="ListParagraph"/>
        <w:jc w:val="right"/>
        <w:rPr>
          <w:rFonts w:asciiTheme="minorHAnsi" w:hAnsiTheme="minorHAnsi"/>
          <w:sz w:val="24"/>
        </w:rPr>
      </w:pPr>
    </w:p>
    <w:p w14:paraId="2D3C873D" w14:textId="24493B3C" w:rsidR="00E771A9" w:rsidRPr="005F1CA7" w:rsidRDefault="00B57011" w:rsidP="005F1CA7">
      <w:pPr>
        <w:pStyle w:val="ListParagraph"/>
        <w:jc w:val="right"/>
        <w:rPr>
          <w:rFonts w:asciiTheme="minorHAnsi" w:hAnsiTheme="minorHAnsi"/>
          <w:sz w:val="24"/>
        </w:rPr>
      </w:pPr>
      <w:r>
        <w:rPr>
          <w:rFonts w:asciiTheme="minorHAnsi" w:hAnsiTheme="minorHAnsi"/>
          <w:sz w:val="24"/>
        </w:rPr>
        <w:t>8</w:t>
      </w:r>
      <w:r w:rsidR="005F1CA7" w:rsidRPr="00980FA5">
        <w:rPr>
          <w:rFonts w:asciiTheme="minorHAnsi" w:hAnsiTheme="minorHAnsi"/>
          <w:sz w:val="24"/>
        </w:rPr>
        <w:t>.</w:t>
      </w:r>
      <w:r w:rsidR="005F1CA7">
        <w:rPr>
          <w:rFonts w:asciiTheme="minorHAnsi" w:hAnsiTheme="minorHAnsi"/>
          <w:sz w:val="24"/>
        </w:rPr>
        <w:t xml:space="preserve"> tabula</w:t>
      </w:r>
      <w:r w:rsidR="005F1CA7" w:rsidRPr="00980FA5">
        <w:rPr>
          <w:rFonts w:asciiTheme="minorHAnsi" w:hAnsiTheme="minorHAnsi"/>
          <w:sz w:val="24"/>
        </w:rPr>
        <w:t xml:space="preserve">: </w:t>
      </w:r>
      <w:r w:rsidR="005F1CA7">
        <w:rPr>
          <w:rFonts w:asciiTheme="minorHAnsi" w:hAnsiTheme="minorHAnsi"/>
          <w:sz w:val="24"/>
        </w:rPr>
        <w:t>Scenārija A ietekme uz budžetu</w:t>
      </w:r>
    </w:p>
    <w:tbl>
      <w:tblPr>
        <w:tblStyle w:val="TableGrid"/>
        <w:tblW w:w="5000" w:type="pct"/>
        <w:tblLook w:val="04A0" w:firstRow="1" w:lastRow="0" w:firstColumn="1" w:lastColumn="0" w:noHBand="0" w:noVBand="1"/>
      </w:tblPr>
      <w:tblGrid>
        <w:gridCol w:w="2685"/>
        <w:gridCol w:w="1516"/>
        <w:gridCol w:w="1522"/>
        <w:gridCol w:w="1540"/>
        <w:gridCol w:w="1657"/>
      </w:tblGrid>
      <w:tr w:rsidR="00E771A9" w:rsidRPr="002A7D65" w14:paraId="5B697A72" w14:textId="77777777" w:rsidTr="000C2595">
        <w:trPr>
          <w:tblHeader/>
        </w:trPr>
        <w:tc>
          <w:tcPr>
            <w:tcW w:w="1505" w:type="pct"/>
            <w:shd w:val="clear" w:color="auto" w:fill="7030A0"/>
          </w:tcPr>
          <w:p w14:paraId="061CF24D" w14:textId="77777777" w:rsidR="00E771A9" w:rsidRPr="002A7D65" w:rsidRDefault="00E771A9" w:rsidP="000C2595">
            <w:pPr>
              <w:ind w:firstLine="0"/>
              <w:jc w:val="center"/>
              <w:rPr>
                <w:b/>
                <w:color w:val="FFFFFF" w:themeColor="background1"/>
              </w:rPr>
            </w:pPr>
            <w:bookmarkStart w:id="32" w:name="_Hlk155088919"/>
            <w:r w:rsidRPr="002A7D65">
              <w:rPr>
                <w:b/>
                <w:color w:val="FFFFFF" w:themeColor="background1"/>
              </w:rPr>
              <w:t>Pozīcija</w:t>
            </w:r>
          </w:p>
          <w:p w14:paraId="1F881DDC" w14:textId="77777777" w:rsidR="00E771A9" w:rsidRPr="002A7D65" w:rsidRDefault="00E771A9" w:rsidP="000C2595">
            <w:pPr>
              <w:ind w:firstLine="0"/>
              <w:jc w:val="center"/>
              <w:rPr>
                <w:b/>
                <w:color w:val="FFFFFF" w:themeColor="background1"/>
              </w:rPr>
            </w:pPr>
          </w:p>
        </w:tc>
        <w:tc>
          <w:tcPr>
            <w:tcW w:w="850" w:type="pct"/>
            <w:shd w:val="clear" w:color="auto" w:fill="7030A0"/>
          </w:tcPr>
          <w:p w14:paraId="43EE4901" w14:textId="77777777" w:rsidR="00E771A9" w:rsidRPr="002A7D65" w:rsidRDefault="00E771A9" w:rsidP="000C2595">
            <w:pPr>
              <w:ind w:firstLine="0"/>
              <w:jc w:val="center"/>
              <w:rPr>
                <w:b/>
                <w:color w:val="FFFFFF" w:themeColor="background1"/>
              </w:rPr>
            </w:pPr>
            <w:r w:rsidRPr="002A7D65">
              <w:rPr>
                <w:b/>
                <w:color w:val="FFFFFF" w:themeColor="background1"/>
              </w:rPr>
              <w:t>2024. gads</w:t>
            </w:r>
          </w:p>
        </w:tc>
        <w:tc>
          <w:tcPr>
            <w:tcW w:w="853" w:type="pct"/>
            <w:shd w:val="clear" w:color="auto" w:fill="7030A0"/>
          </w:tcPr>
          <w:p w14:paraId="27737B2A" w14:textId="77777777" w:rsidR="00E771A9" w:rsidRPr="002A7D65" w:rsidRDefault="00E771A9" w:rsidP="000C2595">
            <w:pPr>
              <w:ind w:firstLine="0"/>
              <w:rPr>
                <w:b/>
                <w:color w:val="FFFFFF" w:themeColor="background1"/>
              </w:rPr>
            </w:pPr>
            <w:r w:rsidRPr="002A7D65">
              <w:rPr>
                <w:b/>
                <w:color w:val="FFFFFF" w:themeColor="background1"/>
              </w:rPr>
              <w:t>2025. gads</w:t>
            </w:r>
          </w:p>
        </w:tc>
        <w:tc>
          <w:tcPr>
            <w:tcW w:w="863" w:type="pct"/>
            <w:shd w:val="clear" w:color="auto" w:fill="7030A0"/>
          </w:tcPr>
          <w:p w14:paraId="1448BEE5" w14:textId="77777777" w:rsidR="00E771A9" w:rsidRPr="002A7D65" w:rsidRDefault="00E771A9" w:rsidP="000C2595">
            <w:pPr>
              <w:ind w:firstLine="0"/>
              <w:jc w:val="center"/>
              <w:rPr>
                <w:b/>
                <w:color w:val="FFFFFF" w:themeColor="background1"/>
              </w:rPr>
            </w:pPr>
            <w:r w:rsidRPr="002A7D65">
              <w:rPr>
                <w:b/>
                <w:color w:val="FFFFFF" w:themeColor="background1"/>
              </w:rPr>
              <w:t>2026. gads</w:t>
            </w:r>
          </w:p>
        </w:tc>
        <w:tc>
          <w:tcPr>
            <w:tcW w:w="929" w:type="pct"/>
            <w:shd w:val="clear" w:color="auto" w:fill="7030A0"/>
          </w:tcPr>
          <w:p w14:paraId="45D0195A" w14:textId="77777777" w:rsidR="00E771A9" w:rsidRPr="002A7D65" w:rsidRDefault="00E771A9" w:rsidP="000C2595">
            <w:pPr>
              <w:ind w:firstLine="0"/>
              <w:jc w:val="center"/>
              <w:rPr>
                <w:b/>
                <w:color w:val="FFFFFF" w:themeColor="background1"/>
              </w:rPr>
            </w:pPr>
            <w:r w:rsidRPr="002A7D65">
              <w:rPr>
                <w:b/>
                <w:bCs/>
                <w:color w:val="FFFFFF" w:themeColor="background1"/>
              </w:rPr>
              <w:t>Turpmāk katru gadu</w:t>
            </w:r>
          </w:p>
        </w:tc>
      </w:tr>
      <w:tr w:rsidR="00E771A9" w:rsidRPr="002A7D65" w14:paraId="10F170AF" w14:textId="77777777" w:rsidTr="000C2595">
        <w:tc>
          <w:tcPr>
            <w:tcW w:w="5000" w:type="pct"/>
            <w:gridSpan w:val="5"/>
            <w:tcBorders>
              <w:top w:val="single" w:sz="4" w:space="0" w:color="auto"/>
              <w:bottom w:val="single" w:sz="4" w:space="0" w:color="auto"/>
              <w:right w:val="single" w:sz="4" w:space="0" w:color="auto"/>
            </w:tcBorders>
            <w:shd w:val="clear" w:color="auto" w:fill="D0CECE" w:themeFill="background2" w:themeFillShade="E6"/>
            <w:vAlign w:val="center"/>
          </w:tcPr>
          <w:p w14:paraId="788B3EB4" w14:textId="77777777" w:rsidR="00E771A9" w:rsidRPr="002A7D65" w:rsidRDefault="00E771A9" w:rsidP="000C2595">
            <w:pPr>
              <w:ind w:firstLine="0"/>
              <w:jc w:val="center"/>
              <w:rPr>
                <w:b/>
                <w:bCs/>
                <w:color w:val="000000"/>
                <w:sz w:val="20"/>
                <w:szCs w:val="20"/>
              </w:rPr>
            </w:pPr>
            <w:r w:rsidRPr="002A7D65">
              <w:t>Esošais finansējums augstākajai izglītībai</w:t>
            </w:r>
          </w:p>
        </w:tc>
      </w:tr>
      <w:tr w:rsidR="007B2172" w:rsidRPr="002A7D65" w14:paraId="47EA9F6D" w14:textId="77777777" w:rsidTr="00505575">
        <w:tc>
          <w:tcPr>
            <w:tcW w:w="1505" w:type="pct"/>
            <w:tcBorders>
              <w:top w:val="single" w:sz="4" w:space="0" w:color="auto"/>
              <w:bottom w:val="single" w:sz="4" w:space="0" w:color="auto"/>
              <w:right w:val="single" w:sz="4" w:space="0" w:color="auto"/>
            </w:tcBorders>
            <w:vAlign w:val="center"/>
          </w:tcPr>
          <w:p w14:paraId="197CB5A1" w14:textId="13522299" w:rsidR="007B2172" w:rsidRPr="002A7D65" w:rsidRDefault="00EE583C" w:rsidP="007B2172">
            <w:pPr>
              <w:ind w:firstLine="0"/>
              <w:jc w:val="center"/>
            </w:pPr>
            <w:r>
              <w:t>Augstākā izglītība</w:t>
            </w:r>
            <w:r w:rsidR="00030C41">
              <w:rPr>
                <w:rStyle w:val="FootnoteReference"/>
              </w:rPr>
              <w:footnoteReference w:id="37"/>
            </w:r>
            <w:r w:rsidR="007B2172" w:rsidRPr="002A7D65">
              <w:t>:</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14:paraId="6050A2F9" w14:textId="3F7ED9EC" w:rsidR="007B2172" w:rsidRPr="00FC190A" w:rsidRDefault="007B2172" w:rsidP="007B2172">
            <w:pPr>
              <w:ind w:firstLine="0"/>
              <w:jc w:val="right"/>
            </w:pPr>
            <w:r>
              <w:rPr>
                <w:rFonts w:ascii="Calibri" w:hAnsi="Calibri"/>
                <w:color w:val="000000"/>
              </w:rPr>
              <w:t>141 031 862</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14:paraId="10892139" w14:textId="0AF77C94" w:rsidR="007B2172" w:rsidRPr="00FC190A" w:rsidRDefault="007B2172" w:rsidP="007B2172">
            <w:pPr>
              <w:ind w:firstLine="0"/>
              <w:jc w:val="right"/>
            </w:pPr>
            <w:r>
              <w:rPr>
                <w:rFonts w:ascii="Calibri" w:hAnsi="Calibri"/>
                <w:color w:val="000000"/>
              </w:rPr>
              <w:t>140 449 412</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77CC375C" w14:textId="7C463235" w:rsidR="007B2172" w:rsidRPr="00FC190A" w:rsidRDefault="007B2172" w:rsidP="007B2172">
            <w:pPr>
              <w:ind w:firstLine="0"/>
              <w:jc w:val="right"/>
            </w:pPr>
            <w:r>
              <w:rPr>
                <w:rFonts w:ascii="Calibri" w:hAnsi="Calibri"/>
                <w:color w:val="000000"/>
              </w:rPr>
              <w:t>140 213 209</w:t>
            </w: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14:paraId="7074B257" w14:textId="437872CD" w:rsidR="007B2172" w:rsidRPr="00FC190A" w:rsidRDefault="007B2172" w:rsidP="007B2172">
            <w:pPr>
              <w:ind w:firstLine="0"/>
              <w:jc w:val="right"/>
            </w:pPr>
            <w:r>
              <w:rPr>
                <w:rFonts w:ascii="Calibri" w:hAnsi="Calibri"/>
                <w:color w:val="000000"/>
              </w:rPr>
              <w:t>140 213 210</w:t>
            </w:r>
          </w:p>
        </w:tc>
      </w:tr>
      <w:tr w:rsidR="00E6503A" w:rsidRPr="002A7D65" w14:paraId="44BBE05B" w14:textId="77777777" w:rsidTr="004F6F4A">
        <w:tc>
          <w:tcPr>
            <w:tcW w:w="1505" w:type="pct"/>
            <w:tcBorders>
              <w:top w:val="single" w:sz="4" w:space="0" w:color="auto"/>
              <w:bottom w:val="single" w:sz="4" w:space="0" w:color="auto"/>
              <w:right w:val="single" w:sz="4" w:space="0" w:color="auto"/>
            </w:tcBorders>
            <w:vAlign w:val="center"/>
          </w:tcPr>
          <w:p w14:paraId="0EF30120" w14:textId="77777777" w:rsidR="00E6503A" w:rsidRPr="002A7D65" w:rsidRDefault="00E6503A" w:rsidP="00E6503A">
            <w:pPr>
              <w:ind w:firstLine="0"/>
              <w:jc w:val="right"/>
              <w:rPr>
                <w:i/>
                <w:iCs/>
              </w:rPr>
            </w:pPr>
            <w:bookmarkStart w:id="33" w:name="_Hlk160185269"/>
            <w:r w:rsidRPr="002A7D65">
              <w:rPr>
                <w:i/>
                <w:iCs/>
              </w:rPr>
              <w:t>IZM</w:t>
            </w:r>
          </w:p>
        </w:tc>
        <w:tc>
          <w:tcPr>
            <w:tcW w:w="850" w:type="pct"/>
            <w:tcBorders>
              <w:top w:val="single" w:sz="4" w:space="0" w:color="auto"/>
              <w:left w:val="single" w:sz="4" w:space="0" w:color="auto"/>
              <w:bottom w:val="single" w:sz="4" w:space="0" w:color="auto"/>
              <w:right w:val="single" w:sz="4" w:space="0" w:color="auto"/>
            </w:tcBorders>
            <w:shd w:val="clear" w:color="auto" w:fill="auto"/>
          </w:tcPr>
          <w:p w14:paraId="1B7EEB04" w14:textId="3A08A006" w:rsidR="00E6503A" w:rsidRPr="001840EE" w:rsidRDefault="00E6503A" w:rsidP="00E6503A">
            <w:pPr>
              <w:ind w:firstLine="0"/>
              <w:jc w:val="right"/>
            </w:pPr>
            <w:r w:rsidRPr="001840EE">
              <w:t>96 609 454</w:t>
            </w:r>
          </w:p>
        </w:tc>
        <w:tc>
          <w:tcPr>
            <w:tcW w:w="853" w:type="pct"/>
            <w:tcBorders>
              <w:top w:val="single" w:sz="4" w:space="0" w:color="auto"/>
              <w:left w:val="single" w:sz="4" w:space="0" w:color="auto"/>
              <w:bottom w:val="single" w:sz="4" w:space="0" w:color="auto"/>
              <w:right w:val="single" w:sz="4" w:space="0" w:color="auto"/>
            </w:tcBorders>
            <w:shd w:val="clear" w:color="auto" w:fill="auto"/>
          </w:tcPr>
          <w:p w14:paraId="6F0AA961" w14:textId="48CB0D7B" w:rsidR="00E6503A" w:rsidRPr="001840EE" w:rsidRDefault="00E6503A" w:rsidP="00E6503A">
            <w:pPr>
              <w:ind w:firstLine="0"/>
              <w:jc w:val="right"/>
            </w:pPr>
            <w:r w:rsidRPr="001840EE">
              <w:t>96 759 003</w:t>
            </w:r>
          </w:p>
        </w:tc>
        <w:tc>
          <w:tcPr>
            <w:tcW w:w="863" w:type="pct"/>
            <w:tcBorders>
              <w:top w:val="single" w:sz="4" w:space="0" w:color="auto"/>
              <w:left w:val="single" w:sz="4" w:space="0" w:color="auto"/>
              <w:bottom w:val="single" w:sz="4" w:space="0" w:color="auto"/>
              <w:right w:val="single" w:sz="4" w:space="0" w:color="auto"/>
            </w:tcBorders>
            <w:shd w:val="clear" w:color="auto" w:fill="auto"/>
          </w:tcPr>
          <w:p w14:paraId="0710DF89" w14:textId="5B4019DA" w:rsidR="00E6503A" w:rsidRPr="001840EE" w:rsidRDefault="00E6503A" w:rsidP="00E6503A">
            <w:pPr>
              <w:ind w:firstLine="0"/>
              <w:jc w:val="right"/>
            </w:pPr>
            <w:r w:rsidRPr="001840EE">
              <w:t>96 522 799</w:t>
            </w: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14:paraId="2D5C3076" w14:textId="5BD5A321" w:rsidR="00E6503A" w:rsidRPr="001840EE" w:rsidRDefault="00E6503A" w:rsidP="00E6503A">
            <w:pPr>
              <w:ind w:firstLine="0"/>
              <w:jc w:val="right"/>
            </w:pPr>
            <w:r w:rsidRPr="001840EE">
              <w:t>96 522 799</w:t>
            </w:r>
          </w:p>
        </w:tc>
      </w:tr>
      <w:bookmarkEnd w:id="33"/>
      <w:tr w:rsidR="00CB1FD5" w:rsidRPr="002A7D65" w14:paraId="4CF26FB9" w14:textId="77777777" w:rsidTr="005C7F46">
        <w:tc>
          <w:tcPr>
            <w:tcW w:w="1505" w:type="pct"/>
            <w:tcBorders>
              <w:top w:val="single" w:sz="4" w:space="0" w:color="auto"/>
              <w:bottom w:val="single" w:sz="4" w:space="0" w:color="auto"/>
              <w:right w:val="single" w:sz="4" w:space="0" w:color="auto"/>
            </w:tcBorders>
            <w:vAlign w:val="center"/>
          </w:tcPr>
          <w:p w14:paraId="769AD374" w14:textId="77777777" w:rsidR="00CB1FD5" w:rsidRPr="002A7D65" w:rsidRDefault="00CB1FD5" w:rsidP="00CB1FD5">
            <w:pPr>
              <w:ind w:firstLine="0"/>
              <w:jc w:val="right"/>
              <w:rPr>
                <w:i/>
                <w:iCs/>
              </w:rPr>
            </w:pPr>
            <w:r w:rsidRPr="002A7D65">
              <w:rPr>
                <w:i/>
                <w:iCs/>
              </w:rPr>
              <w:t>VM</w:t>
            </w:r>
          </w:p>
        </w:tc>
        <w:tc>
          <w:tcPr>
            <w:tcW w:w="850" w:type="pct"/>
            <w:tcBorders>
              <w:top w:val="single" w:sz="4" w:space="0" w:color="auto"/>
              <w:left w:val="single" w:sz="4" w:space="0" w:color="auto"/>
              <w:bottom w:val="single" w:sz="4" w:space="0" w:color="auto"/>
              <w:right w:val="single" w:sz="4" w:space="0" w:color="auto"/>
            </w:tcBorders>
            <w:shd w:val="clear" w:color="auto" w:fill="auto"/>
            <w:vAlign w:val="bottom"/>
          </w:tcPr>
          <w:p w14:paraId="2CAF0586" w14:textId="609762CE" w:rsidR="00CB1FD5" w:rsidRPr="001840EE" w:rsidRDefault="00CB1FD5" w:rsidP="00CB1FD5">
            <w:pPr>
              <w:ind w:firstLine="0"/>
              <w:jc w:val="right"/>
            </w:pPr>
            <w:r w:rsidRPr="001840EE">
              <w:t>21 641 083</w:t>
            </w:r>
          </w:p>
        </w:tc>
        <w:tc>
          <w:tcPr>
            <w:tcW w:w="853" w:type="pct"/>
            <w:tcBorders>
              <w:top w:val="single" w:sz="4" w:space="0" w:color="auto"/>
              <w:left w:val="nil"/>
              <w:bottom w:val="single" w:sz="4" w:space="0" w:color="auto"/>
              <w:right w:val="single" w:sz="4" w:space="0" w:color="auto"/>
            </w:tcBorders>
            <w:shd w:val="clear" w:color="auto" w:fill="auto"/>
            <w:vAlign w:val="bottom"/>
          </w:tcPr>
          <w:p w14:paraId="5173AD3C" w14:textId="2AB6664F" w:rsidR="00CB1FD5" w:rsidRPr="001840EE" w:rsidRDefault="00CB1FD5" w:rsidP="00CB1FD5">
            <w:pPr>
              <w:ind w:firstLine="0"/>
              <w:jc w:val="right"/>
            </w:pPr>
            <w:r w:rsidRPr="001840EE">
              <w:t>21 641 084</w:t>
            </w:r>
          </w:p>
        </w:tc>
        <w:tc>
          <w:tcPr>
            <w:tcW w:w="863" w:type="pct"/>
            <w:tcBorders>
              <w:top w:val="single" w:sz="4" w:space="0" w:color="auto"/>
              <w:left w:val="nil"/>
              <w:bottom w:val="single" w:sz="4" w:space="0" w:color="auto"/>
              <w:right w:val="single" w:sz="4" w:space="0" w:color="auto"/>
            </w:tcBorders>
            <w:shd w:val="clear" w:color="auto" w:fill="auto"/>
            <w:vAlign w:val="bottom"/>
          </w:tcPr>
          <w:p w14:paraId="5DC9C28B" w14:textId="327FA6A3" w:rsidR="00CB1FD5" w:rsidRPr="001840EE" w:rsidRDefault="00CB1FD5" w:rsidP="00CB1FD5">
            <w:pPr>
              <w:ind w:firstLine="0"/>
              <w:jc w:val="right"/>
            </w:pPr>
            <w:r w:rsidRPr="001840EE">
              <w:t>21 641 085</w:t>
            </w:r>
          </w:p>
        </w:tc>
        <w:tc>
          <w:tcPr>
            <w:tcW w:w="929" w:type="pct"/>
            <w:tcBorders>
              <w:top w:val="single" w:sz="4" w:space="0" w:color="auto"/>
              <w:left w:val="nil"/>
              <w:bottom w:val="single" w:sz="4" w:space="0" w:color="auto"/>
              <w:right w:val="single" w:sz="4" w:space="0" w:color="auto"/>
            </w:tcBorders>
            <w:shd w:val="clear" w:color="auto" w:fill="auto"/>
            <w:vAlign w:val="bottom"/>
          </w:tcPr>
          <w:p w14:paraId="20392FFB" w14:textId="66288F0F" w:rsidR="00CB1FD5" w:rsidRPr="001840EE" w:rsidRDefault="00CB1FD5" w:rsidP="00CB1FD5">
            <w:pPr>
              <w:ind w:firstLine="0"/>
              <w:jc w:val="right"/>
            </w:pPr>
            <w:r w:rsidRPr="001840EE">
              <w:t>21 641 086</w:t>
            </w:r>
          </w:p>
        </w:tc>
      </w:tr>
      <w:tr w:rsidR="008D3474" w:rsidRPr="002A7D65" w14:paraId="7B51EC9D" w14:textId="77777777" w:rsidTr="000C2595">
        <w:tc>
          <w:tcPr>
            <w:tcW w:w="1505" w:type="pct"/>
            <w:tcBorders>
              <w:top w:val="single" w:sz="4" w:space="0" w:color="auto"/>
              <w:bottom w:val="single" w:sz="4" w:space="0" w:color="auto"/>
              <w:right w:val="single" w:sz="4" w:space="0" w:color="auto"/>
            </w:tcBorders>
            <w:vAlign w:val="center"/>
          </w:tcPr>
          <w:p w14:paraId="0BB4E740" w14:textId="77777777" w:rsidR="008D3474" w:rsidRPr="002A7D65" w:rsidRDefault="008D3474" w:rsidP="008D3474">
            <w:pPr>
              <w:ind w:firstLine="0"/>
              <w:jc w:val="right"/>
              <w:rPr>
                <w:i/>
                <w:iCs/>
              </w:rPr>
            </w:pPr>
            <w:r w:rsidRPr="002A7D65">
              <w:rPr>
                <w:i/>
                <w:iCs/>
              </w:rPr>
              <w:t>ZM</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14:paraId="361829F7" w14:textId="71EB60A3" w:rsidR="008D3474" w:rsidRPr="00CB1FD5" w:rsidRDefault="008D3474" w:rsidP="008D3474">
            <w:pPr>
              <w:ind w:firstLine="0"/>
              <w:jc w:val="right"/>
            </w:pPr>
            <w:r>
              <w:rPr>
                <w:rFonts w:ascii="Calibri" w:hAnsi="Calibri"/>
                <w:color w:val="000000"/>
              </w:rPr>
              <w:t>11 494 158</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14:paraId="580EA68C" w14:textId="5E49CB57" w:rsidR="008D3474" w:rsidRPr="00CB1FD5" w:rsidRDefault="008D3474" w:rsidP="008D3474">
            <w:pPr>
              <w:ind w:firstLine="0"/>
              <w:jc w:val="right"/>
            </w:pPr>
            <w:r>
              <w:rPr>
                <w:rFonts w:ascii="Calibri" w:hAnsi="Calibri"/>
                <w:color w:val="000000"/>
              </w:rPr>
              <w:t>10 762 158</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45181D14" w14:textId="44BBAD6E" w:rsidR="008D3474" w:rsidRPr="00CB1FD5" w:rsidRDefault="008D3474" w:rsidP="008D3474">
            <w:pPr>
              <w:ind w:firstLine="0"/>
              <w:jc w:val="right"/>
            </w:pPr>
            <w:r>
              <w:rPr>
                <w:rFonts w:ascii="Calibri" w:hAnsi="Calibri"/>
                <w:color w:val="000000"/>
              </w:rPr>
              <w:t>10 762 158</w:t>
            </w: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14:paraId="49206866" w14:textId="669116A5" w:rsidR="008D3474" w:rsidRPr="00CB1FD5" w:rsidRDefault="008D3474" w:rsidP="008D3474">
            <w:pPr>
              <w:ind w:firstLine="0"/>
              <w:jc w:val="right"/>
            </w:pPr>
            <w:r>
              <w:rPr>
                <w:rFonts w:ascii="Calibri" w:hAnsi="Calibri"/>
                <w:color w:val="000000"/>
              </w:rPr>
              <w:t>10 762 158</w:t>
            </w:r>
          </w:p>
        </w:tc>
      </w:tr>
      <w:tr w:rsidR="00CB1FD5" w:rsidRPr="002A7D65" w14:paraId="60242387" w14:textId="77777777" w:rsidTr="00AD755A">
        <w:tc>
          <w:tcPr>
            <w:tcW w:w="1505" w:type="pct"/>
            <w:tcBorders>
              <w:top w:val="single" w:sz="4" w:space="0" w:color="auto"/>
              <w:bottom w:val="single" w:sz="4" w:space="0" w:color="auto"/>
              <w:right w:val="single" w:sz="4" w:space="0" w:color="auto"/>
            </w:tcBorders>
            <w:vAlign w:val="center"/>
          </w:tcPr>
          <w:p w14:paraId="10EF41E4" w14:textId="77777777" w:rsidR="00CB1FD5" w:rsidRPr="002A7D65" w:rsidRDefault="00CB1FD5" w:rsidP="00CB1FD5">
            <w:pPr>
              <w:ind w:firstLine="0"/>
              <w:jc w:val="right"/>
              <w:rPr>
                <w:i/>
                <w:iCs/>
              </w:rPr>
            </w:pPr>
            <w:r w:rsidRPr="002A7D65">
              <w:rPr>
                <w:i/>
                <w:iCs/>
              </w:rPr>
              <w:t>KM</w:t>
            </w:r>
          </w:p>
        </w:tc>
        <w:tc>
          <w:tcPr>
            <w:tcW w:w="850" w:type="pct"/>
            <w:tcBorders>
              <w:top w:val="single" w:sz="4" w:space="0" w:color="auto"/>
              <w:left w:val="single" w:sz="4" w:space="0" w:color="auto"/>
              <w:bottom w:val="single" w:sz="4" w:space="0" w:color="auto"/>
              <w:right w:val="single" w:sz="4" w:space="0" w:color="auto"/>
            </w:tcBorders>
            <w:shd w:val="clear" w:color="auto" w:fill="auto"/>
          </w:tcPr>
          <w:p w14:paraId="45BF8F3C" w14:textId="502CDDF3" w:rsidR="00CB1FD5" w:rsidRPr="001840EE" w:rsidRDefault="00CB1FD5" w:rsidP="00CB1FD5">
            <w:pPr>
              <w:ind w:firstLine="0"/>
              <w:jc w:val="right"/>
            </w:pPr>
            <w:r w:rsidRPr="001840EE">
              <w:t>11 287 167</w:t>
            </w:r>
          </w:p>
        </w:tc>
        <w:tc>
          <w:tcPr>
            <w:tcW w:w="853" w:type="pct"/>
            <w:tcBorders>
              <w:top w:val="single" w:sz="4" w:space="0" w:color="auto"/>
              <w:left w:val="single" w:sz="4" w:space="0" w:color="auto"/>
              <w:bottom w:val="single" w:sz="4" w:space="0" w:color="auto"/>
              <w:right w:val="single" w:sz="4" w:space="0" w:color="auto"/>
            </w:tcBorders>
            <w:shd w:val="clear" w:color="auto" w:fill="auto"/>
          </w:tcPr>
          <w:p w14:paraId="60E6CE9B" w14:textId="450C400F" w:rsidR="00CB1FD5" w:rsidRPr="001840EE" w:rsidRDefault="00CB1FD5" w:rsidP="00CB1FD5">
            <w:pPr>
              <w:ind w:firstLine="0"/>
              <w:jc w:val="right"/>
            </w:pPr>
            <w:r w:rsidRPr="001840EE">
              <w:t>11 287 167</w:t>
            </w:r>
          </w:p>
        </w:tc>
        <w:tc>
          <w:tcPr>
            <w:tcW w:w="863" w:type="pct"/>
            <w:tcBorders>
              <w:top w:val="single" w:sz="4" w:space="0" w:color="auto"/>
              <w:left w:val="single" w:sz="4" w:space="0" w:color="auto"/>
              <w:bottom w:val="single" w:sz="4" w:space="0" w:color="auto"/>
              <w:right w:val="single" w:sz="4" w:space="0" w:color="auto"/>
            </w:tcBorders>
            <w:shd w:val="clear" w:color="auto" w:fill="auto"/>
          </w:tcPr>
          <w:p w14:paraId="1190FA09" w14:textId="2C50FE47" w:rsidR="00CB1FD5" w:rsidRPr="001840EE" w:rsidRDefault="00CB1FD5" w:rsidP="00CB1FD5">
            <w:pPr>
              <w:ind w:firstLine="0"/>
              <w:jc w:val="right"/>
            </w:pPr>
            <w:r w:rsidRPr="001840EE">
              <w:t>11 287 167</w:t>
            </w:r>
          </w:p>
        </w:tc>
        <w:tc>
          <w:tcPr>
            <w:tcW w:w="929" w:type="pct"/>
            <w:tcBorders>
              <w:top w:val="single" w:sz="4" w:space="0" w:color="auto"/>
              <w:left w:val="single" w:sz="4" w:space="0" w:color="auto"/>
              <w:bottom w:val="single" w:sz="4" w:space="0" w:color="auto"/>
              <w:right w:val="single" w:sz="4" w:space="0" w:color="auto"/>
            </w:tcBorders>
            <w:shd w:val="clear" w:color="auto" w:fill="auto"/>
          </w:tcPr>
          <w:p w14:paraId="01D4EA10" w14:textId="038D9DC1" w:rsidR="00CB1FD5" w:rsidRPr="001840EE" w:rsidRDefault="00CB1FD5" w:rsidP="00CB1FD5">
            <w:pPr>
              <w:ind w:firstLine="0"/>
              <w:jc w:val="right"/>
            </w:pPr>
            <w:r w:rsidRPr="001840EE">
              <w:t>11 287 167</w:t>
            </w:r>
          </w:p>
        </w:tc>
      </w:tr>
      <w:tr w:rsidR="00CB1FD5" w:rsidRPr="002A7D65" w14:paraId="60C4A9BE" w14:textId="77777777" w:rsidTr="000C2595">
        <w:tc>
          <w:tcPr>
            <w:tcW w:w="1505" w:type="pct"/>
            <w:tcBorders>
              <w:top w:val="single" w:sz="4" w:space="0" w:color="auto"/>
              <w:bottom w:val="single" w:sz="4" w:space="0" w:color="auto"/>
              <w:right w:val="single" w:sz="4" w:space="0" w:color="auto"/>
            </w:tcBorders>
            <w:vAlign w:val="center"/>
          </w:tcPr>
          <w:p w14:paraId="6573E954" w14:textId="77777777" w:rsidR="00CB1FD5" w:rsidRPr="002A7D65" w:rsidRDefault="00CB1FD5" w:rsidP="00CB1FD5">
            <w:pPr>
              <w:ind w:firstLine="0"/>
              <w:jc w:val="center"/>
            </w:pPr>
            <w:r w:rsidRPr="002A7D65">
              <w:t>Snieguma finansējums</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14:paraId="2ACB32F4" w14:textId="43BC06E8" w:rsidR="00CB1FD5" w:rsidRPr="002A7D65" w:rsidRDefault="00CB1FD5" w:rsidP="00CB1FD5">
            <w:pPr>
              <w:ind w:firstLine="0"/>
              <w:jc w:val="center"/>
              <w:rPr>
                <w:color w:val="000000"/>
              </w:rPr>
            </w:pPr>
            <w:r w:rsidRPr="00771F1C">
              <w:rPr>
                <w:rFonts w:ascii="Calibri" w:eastAsia="Calibri" w:hAnsi="Calibri"/>
                <w:color w:val="000000"/>
                <w:lang w:val="en-US"/>
              </w:rPr>
              <w:t>13 225 828</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14:paraId="506E82A5" w14:textId="07B51DDB" w:rsidR="00CB1FD5" w:rsidRPr="002A7D65" w:rsidRDefault="00CB1FD5" w:rsidP="00CB1FD5">
            <w:pPr>
              <w:ind w:firstLine="0"/>
              <w:jc w:val="center"/>
              <w:rPr>
                <w:color w:val="000000"/>
              </w:rPr>
            </w:pPr>
            <w:r w:rsidRPr="00771F1C">
              <w:rPr>
                <w:rFonts w:ascii="Calibri" w:eastAsia="Calibri" w:hAnsi="Calibri"/>
                <w:color w:val="000000"/>
                <w:lang w:val="en-US"/>
              </w:rPr>
              <w:t>13 225 828</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3A96E323" w14:textId="25B28142" w:rsidR="00CB1FD5" w:rsidRPr="002A7D65" w:rsidRDefault="00CB1FD5" w:rsidP="00CB1FD5">
            <w:pPr>
              <w:ind w:firstLine="0"/>
              <w:jc w:val="center"/>
              <w:rPr>
                <w:color w:val="000000"/>
              </w:rPr>
            </w:pPr>
            <w:r w:rsidRPr="00771F1C">
              <w:rPr>
                <w:rFonts w:ascii="Calibri" w:eastAsia="Calibri" w:hAnsi="Calibri"/>
                <w:color w:val="000000"/>
                <w:lang w:val="en-US"/>
              </w:rPr>
              <w:t>13 225 828</w:t>
            </w: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14:paraId="49947E78" w14:textId="71FB4B73" w:rsidR="00CB1FD5" w:rsidRPr="002A7D65" w:rsidRDefault="00CB1FD5" w:rsidP="00CB1FD5">
            <w:pPr>
              <w:ind w:firstLine="0"/>
              <w:jc w:val="center"/>
              <w:rPr>
                <w:b/>
                <w:bCs/>
                <w:color w:val="000000"/>
              </w:rPr>
            </w:pPr>
            <w:r w:rsidRPr="00771F1C">
              <w:rPr>
                <w:rFonts w:ascii="Calibri" w:eastAsia="Calibri" w:hAnsi="Calibri"/>
                <w:color w:val="000000"/>
                <w:lang w:val="en-US"/>
              </w:rPr>
              <w:t>13 225 828</w:t>
            </w:r>
          </w:p>
        </w:tc>
      </w:tr>
      <w:tr w:rsidR="00CB1FD5" w:rsidRPr="002A7D65" w14:paraId="40F8C425" w14:textId="77777777" w:rsidTr="00015584">
        <w:tc>
          <w:tcPr>
            <w:tcW w:w="5000" w:type="pct"/>
            <w:gridSpan w:val="5"/>
            <w:tcBorders>
              <w:top w:val="single" w:sz="4" w:space="0" w:color="auto"/>
              <w:bottom w:val="single" w:sz="4" w:space="0" w:color="auto"/>
              <w:right w:val="single" w:sz="4" w:space="0" w:color="auto"/>
            </w:tcBorders>
            <w:shd w:val="clear" w:color="auto" w:fill="D0CECE" w:themeFill="background2" w:themeFillShade="E6"/>
            <w:vAlign w:val="center"/>
          </w:tcPr>
          <w:p w14:paraId="30AB917A" w14:textId="2740F168" w:rsidR="00CB1FD5" w:rsidRPr="000B54E1" w:rsidRDefault="00CB1FD5" w:rsidP="00CB1FD5">
            <w:pPr>
              <w:ind w:firstLine="0"/>
              <w:jc w:val="center"/>
              <w:rPr>
                <w:rFonts w:ascii="Calibri" w:eastAsia="Calibri" w:hAnsi="Calibri"/>
                <w:color w:val="000000"/>
              </w:rPr>
            </w:pPr>
            <w:r>
              <w:t>P</w:t>
            </w:r>
            <w:r w:rsidRPr="002A7D65">
              <w:t>rioritārā pasākuma “Snieguma finansējuma augstākajā izglītībā un zinātnē īpatsvara pakāpeniska palielināšana” finansējums no 2024. gada (74.resors)</w:t>
            </w:r>
          </w:p>
        </w:tc>
      </w:tr>
      <w:tr w:rsidR="00CB1FD5" w:rsidRPr="002A7D65" w14:paraId="4BD33C8B" w14:textId="77777777" w:rsidTr="000C2595">
        <w:tc>
          <w:tcPr>
            <w:tcW w:w="1505" w:type="pct"/>
            <w:tcBorders>
              <w:top w:val="single" w:sz="4" w:space="0" w:color="auto"/>
              <w:bottom w:val="single" w:sz="4" w:space="0" w:color="auto"/>
              <w:right w:val="single" w:sz="4" w:space="0" w:color="auto"/>
            </w:tcBorders>
            <w:vAlign w:val="center"/>
          </w:tcPr>
          <w:p w14:paraId="22899C94" w14:textId="7C7B0DA6" w:rsidR="00CB1FD5" w:rsidRPr="002A7D65" w:rsidRDefault="00CB1FD5" w:rsidP="00CB1FD5">
            <w:pPr>
              <w:ind w:firstLine="0"/>
              <w:jc w:val="center"/>
            </w:pPr>
            <w:r w:rsidRPr="002A7D65">
              <w:lastRenderedPageBreak/>
              <w:t>Augstākās izglītības un zinātnes snieguma finansējuma palielinājums</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14:paraId="1448AB24" w14:textId="17C78641" w:rsidR="00CB1FD5" w:rsidRPr="00771F1C" w:rsidRDefault="00CB1FD5" w:rsidP="00CB1FD5">
            <w:pPr>
              <w:ind w:firstLine="0"/>
              <w:jc w:val="center"/>
              <w:rPr>
                <w:rFonts w:ascii="Calibri" w:eastAsia="Calibri" w:hAnsi="Calibri"/>
                <w:color w:val="000000"/>
                <w:lang w:val="en-US"/>
              </w:rPr>
            </w:pPr>
            <w:r w:rsidRPr="002A7D65">
              <w:rPr>
                <w:rFonts w:ascii="Calibri" w:hAnsi="Calibri"/>
                <w:color w:val="000000"/>
              </w:rPr>
              <w:t>5 950 000</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14:paraId="42DA4198" w14:textId="5C762349" w:rsidR="00CB1FD5" w:rsidRPr="00771F1C" w:rsidRDefault="00CB1FD5" w:rsidP="00CB1FD5">
            <w:pPr>
              <w:ind w:firstLine="0"/>
              <w:jc w:val="center"/>
              <w:rPr>
                <w:rFonts w:ascii="Calibri" w:eastAsia="Calibri" w:hAnsi="Calibri"/>
                <w:color w:val="000000"/>
                <w:lang w:val="en-US"/>
              </w:rPr>
            </w:pPr>
            <w:r w:rsidRPr="002A7D65">
              <w:rPr>
                <w:rFonts w:ascii="Calibri" w:hAnsi="Calibri"/>
                <w:color w:val="000000"/>
              </w:rPr>
              <w:t>5 950 000</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4A1342EE" w14:textId="3B347FC9" w:rsidR="00CB1FD5" w:rsidRPr="00771F1C" w:rsidRDefault="00CB1FD5" w:rsidP="00CB1FD5">
            <w:pPr>
              <w:ind w:firstLine="0"/>
              <w:jc w:val="center"/>
              <w:rPr>
                <w:rFonts w:ascii="Calibri" w:eastAsia="Calibri" w:hAnsi="Calibri"/>
                <w:color w:val="000000"/>
                <w:lang w:val="en-US"/>
              </w:rPr>
            </w:pPr>
            <w:r w:rsidRPr="002A7D65">
              <w:rPr>
                <w:rFonts w:ascii="Calibri" w:hAnsi="Calibri"/>
                <w:color w:val="000000"/>
              </w:rPr>
              <w:t>5 950 000</w:t>
            </w: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14:paraId="5FFB6EB7" w14:textId="68171ACF" w:rsidR="00CB1FD5" w:rsidRPr="00771F1C" w:rsidRDefault="00CB1FD5" w:rsidP="00CB1FD5">
            <w:pPr>
              <w:ind w:firstLine="0"/>
              <w:jc w:val="center"/>
              <w:rPr>
                <w:rFonts w:ascii="Calibri" w:eastAsia="Calibri" w:hAnsi="Calibri"/>
                <w:color w:val="000000"/>
                <w:lang w:val="en-US"/>
              </w:rPr>
            </w:pPr>
            <w:r w:rsidRPr="002A7D65">
              <w:rPr>
                <w:rFonts w:ascii="Calibri" w:hAnsi="Calibri"/>
                <w:color w:val="000000"/>
              </w:rPr>
              <w:t>6 450 000</w:t>
            </w:r>
          </w:p>
        </w:tc>
      </w:tr>
      <w:tr w:rsidR="00CB1FD5" w:rsidRPr="002A7D65" w14:paraId="12C2A919" w14:textId="77777777" w:rsidTr="000C2595">
        <w:tc>
          <w:tcPr>
            <w:tcW w:w="1505" w:type="pct"/>
            <w:tcBorders>
              <w:top w:val="single" w:sz="4" w:space="0" w:color="auto"/>
              <w:bottom w:val="single" w:sz="4" w:space="0" w:color="auto"/>
              <w:right w:val="single" w:sz="4" w:space="0" w:color="auto"/>
            </w:tcBorders>
            <w:vAlign w:val="center"/>
          </w:tcPr>
          <w:p w14:paraId="01C68714" w14:textId="596C5A67" w:rsidR="00CB1FD5" w:rsidRPr="002A7D65" w:rsidRDefault="00CB1FD5" w:rsidP="00CB1FD5">
            <w:pPr>
              <w:ind w:firstLine="0"/>
              <w:jc w:val="center"/>
            </w:pPr>
            <w:proofErr w:type="spellStart"/>
            <w:r w:rsidRPr="002A7D65">
              <w:t>Mikrokvalifikāciju</w:t>
            </w:r>
            <w:proofErr w:type="spellEnd"/>
            <w:r w:rsidRPr="002A7D65">
              <w:t xml:space="preserve"> ieviešanas </w:t>
            </w:r>
            <w:proofErr w:type="spellStart"/>
            <w:r w:rsidRPr="002A7D65">
              <w:t>izmēģinājumprojekts</w:t>
            </w:r>
            <w:proofErr w:type="spellEnd"/>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14:paraId="3838B0EE" w14:textId="2CD50E24" w:rsidR="00CB1FD5" w:rsidRPr="00771F1C" w:rsidRDefault="00CB1FD5" w:rsidP="00CB1FD5">
            <w:pPr>
              <w:ind w:firstLine="0"/>
              <w:jc w:val="center"/>
              <w:rPr>
                <w:rFonts w:ascii="Calibri" w:eastAsia="Calibri" w:hAnsi="Calibri"/>
                <w:color w:val="000000"/>
                <w:lang w:val="en-US"/>
              </w:rPr>
            </w:pPr>
            <w:r w:rsidRPr="002A7D65">
              <w:t>500 000</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14:paraId="71E869CF" w14:textId="048C4410" w:rsidR="00CB1FD5" w:rsidRPr="00771F1C" w:rsidRDefault="00CB1FD5" w:rsidP="00CB1FD5">
            <w:pPr>
              <w:ind w:firstLine="0"/>
              <w:jc w:val="center"/>
              <w:rPr>
                <w:rFonts w:ascii="Calibri" w:eastAsia="Calibri" w:hAnsi="Calibri"/>
                <w:color w:val="000000"/>
                <w:lang w:val="en-US"/>
              </w:rPr>
            </w:pPr>
            <w:r w:rsidRPr="002A7D65">
              <w:t>500 000</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7C3028C0" w14:textId="141BCA25" w:rsidR="00CB1FD5" w:rsidRPr="00771F1C" w:rsidRDefault="00CB1FD5" w:rsidP="00CB1FD5">
            <w:pPr>
              <w:ind w:firstLine="0"/>
              <w:jc w:val="center"/>
              <w:rPr>
                <w:rFonts w:ascii="Calibri" w:eastAsia="Calibri" w:hAnsi="Calibri"/>
                <w:color w:val="000000"/>
                <w:lang w:val="en-US"/>
              </w:rPr>
            </w:pPr>
            <w:r w:rsidRPr="002A7D65">
              <w:t>500 000</w:t>
            </w: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14:paraId="5E984602" w14:textId="0926A6FD" w:rsidR="00CB1FD5" w:rsidRPr="00771F1C" w:rsidRDefault="00CB1FD5" w:rsidP="00CB1FD5">
            <w:pPr>
              <w:ind w:firstLine="0"/>
              <w:jc w:val="center"/>
              <w:rPr>
                <w:rFonts w:ascii="Calibri" w:eastAsia="Calibri" w:hAnsi="Calibri"/>
                <w:color w:val="000000"/>
                <w:lang w:val="en-US"/>
              </w:rPr>
            </w:pPr>
            <w:r w:rsidRPr="002A7D65">
              <w:t>0</w:t>
            </w:r>
          </w:p>
        </w:tc>
      </w:tr>
      <w:tr w:rsidR="00CB1FD5" w:rsidRPr="002A7D65" w14:paraId="6DA3B860" w14:textId="77777777" w:rsidTr="000C2595">
        <w:tc>
          <w:tcPr>
            <w:tcW w:w="1505" w:type="pct"/>
            <w:tcBorders>
              <w:top w:val="single" w:sz="4" w:space="0" w:color="auto"/>
              <w:bottom w:val="single" w:sz="4" w:space="0" w:color="auto"/>
              <w:right w:val="single" w:sz="4" w:space="0" w:color="auto"/>
            </w:tcBorders>
            <w:vAlign w:val="center"/>
          </w:tcPr>
          <w:p w14:paraId="50DDECE9" w14:textId="2AE0FE92" w:rsidR="00CB1FD5" w:rsidRPr="002A7D65" w:rsidRDefault="00CB1FD5" w:rsidP="00CB1FD5">
            <w:pPr>
              <w:ind w:firstLine="0"/>
              <w:jc w:val="center"/>
            </w:pPr>
            <w:r w:rsidRPr="002A7D65">
              <w:t>Studējošo, absolventu un bez diploma eksmatrikulēto aptauja</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14:paraId="6CD695C3" w14:textId="1492E588" w:rsidR="00CB1FD5" w:rsidRPr="00771F1C" w:rsidRDefault="00CB1FD5" w:rsidP="00CB1FD5">
            <w:pPr>
              <w:ind w:firstLine="0"/>
              <w:jc w:val="center"/>
              <w:rPr>
                <w:rFonts w:ascii="Calibri" w:eastAsia="Calibri" w:hAnsi="Calibri"/>
                <w:color w:val="000000"/>
                <w:lang w:val="en-US"/>
              </w:rPr>
            </w:pPr>
            <w:r w:rsidRPr="002A7D65">
              <w:t>50 000</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14:paraId="7F3C41FD" w14:textId="627C589D" w:rsidR="00CB1FD5" w:rsidRPr="00771F1C" w:rsidRDefault="00CB1FD5" w:rsidP="00CB1FD5">
            <w:pPr>
              <w:ind w:firstLine="0"/>
              <w:jc w:val="center"/>
              <w:rPr>
                <w:rFonts w:ascii="Calibri" w:eastAsia="Calibri" w:hAnsi="Calibri"/>
                <w:color w:val="000000"/>
                <w:lang w:val="en-US"/>
              </w:rPr>
            </w:pPr>
            <w:r w:rsidRPr="002A7D65">
              <w:t>50 000</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45BC7355" w14:textId="57606071" w:rsidR="00CB1FD5" w:rsidRPr="00771F1C" w:rsidRDefault="00CB1FD5" w:rsidP="00CB1FD5">
            <w:pPr>
              <w:ind w:firstLine="0"/>
              <w:jc w:val="center"/>
              <w:rPr>
                <w:rFonts w:ascii="Calibri" w:eastAsia="Calibri" w:hAnsi="Calibri"/>
                <w:color w:val="000000"/>
                <w:lang w:val="en-US"/>
              </w:rPr>
            </w:pPr>
            <w:r w:rsidRPr="002A7D65">
              <w:t>50 000</w:t>
            </w: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14:paraId="69A1576C" w14:textId="2760ADFD" w:rsidR="00CB1FD5" w:rsidRPr="00771F1C" w:rsidRDefault="00CB1FD5" w:rsidP="00CB1FD5">
            <w:pPr>
              <w:ind w:firstLine="0"/>
              <w:jc w:val="center"/>
              <w:rPr>
                <w:rFonts w:ascii="Calibri" w:eastAsia="Calibri" w:hAnsi="Calibri"/>
                <w:color w:val="000000"/>
                <w:lang w:val="en-US"/>
              </w:rPr>
            </w:pPr>
            <w:r w:rsidRPr="002A7D65">
              <w:t>50 000</w:t>
            </w:r>
          </w:p>
        </w:tc>
      </w:tr>
      <w:tr w:rsidR="00CB1FD5" w:rsidRPr="002A7D65" w14:paraId="09979F34" w14:textId="77777777" w:rsidTr="000C2595">
        <w:tc>
          <w:tcPr>
            <w:tcW w:w="1505" w:type="pct"/>
            <w:tcBorders>
              <w:top w:val="single" w:sz="4" w:space="0" w:color="auto"/>
              <w:bottom w:val="single" w:sz="4" w:space="0" w:color="auto"/>
              <w:right w:val="single" w:sz="4" w:space="0" w:color="auto"/>
            </w:tcBorders>
            <w:vAlign w:val="center"/>
          </w:tcPr>
          <w:p w14:paraId="3CE53B87" w14:textId="42FF7BB5" w:rsidR="00CB1FD5" w:rsidRPr="002A7D65" w:rsidRDefault="00CB1FD5" w:rsidP="00CB1FD5">
            <w:pPr>
              <w:ind w:firstLine="0"/>
              <w:jc w:val="center"/>
            </w:pPr>
            <w:r w:rsidRPr="002A7D65">
              <w:t>Zinātnes bāzes finansējuma pieaugums</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14:paraId="41297F3D" w14:textId="5E399C74" w:rsidR="00CB1FD5" w:rsidRPr="00771F1C" w:rsidRDefault="00CB1FD5" w:rsidP="00CB1FD5">
            <w:pPr>
              <w:ind w:firstLine="0"/>
              <w:jc w:val="center"/>
              <w:rPr>
                <w:rFonts w:ascii="Calibri" w:eastAsia="Calibri" w:hAnsi="Calibri"/>
                <w:color w:val="000000"/>
                <w:lang w:val="en-US"/>
              </w:rPr>
            </w:pPr>
            <w:r w:rsidRPr="002A7D65">
              <w:t>5 000 000</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14:paraId="70030ECA" w14:textId="6333F5D7" w:rsidR="00CB1FD5" w:rsidRPr="00771F1C" w:rsidRDefault="00CB1FD5" w:rsidP="00CB1FD5">
            <w:pPr>
              <w:ind w:firstLine="0"/>
              <w:jc w:val="center"/>
              <w:rPr>
                <w:rFonts w:ascii="Calibri" w:eastAsia="Calibri" w:hAnsi="Calibri"/>
                <w:color w:val="000000"/>
                <w:lang w:val="en-US"/>
              </w:rPr>
            </w:pPr>
            <w:r w:rsidRPr="002A7D65">
              <w:t>5 000 000</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405B4E19" w14:textId="5B6B21EE" w:rsidR="00CB1FD5" w:rsidRPr="00771F1C" w:rsidRDefault="00CB1FD5" w:rsidP="00CB1FD5">
            <w:pPr>
              <w:ind w:firstLine="0"/>
              <w:jc w:val="center"/>
              <w:rPr>
                <w:rFonts w:ascii="Calibri" w:eastAsia="Calibri" w:hAnsi="Calibri"/>
                <w:color w:val="000000"/>
                <w:lang w:val="en-US"/>
              </w:rPr>
            </w:pPr>
            <w:r w:rsidRPr="002A7D65">
              <w:t>5 000 000</w:t>
            </w: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14:paraId="09CFF285" w14:textId="380185B9" w:rsidR="00CB1FD5" w:rsidRPr="00771F1C" w:rsidRDefault="00CB1FD5" w:rsidP="00CB1FD5">
            <w:pPr>
              <w:ind w:firstLine="0"/>
              <w:jc w:val="center"/>
              <w:rPr>
                <w:rFonts w:ascii="Calibri" w:eastAsia="Calibri" w:hAnsi="Calibri"/>
                <w:color w:val="000000"/>
                <w:lang w:val="en-US"/>
              </w:rPr>
            </w:pPr>
            <w:r w:rsidRPr="002A7D65">
              <w:t>5 000 000</w:t>
            </w:r>
          </w:p>
        </w:tc>
      </w:tr>
      <w:tr w:rsidR="00CB1FD5" w:rsidRPr="002A7D65" w14:paraId="27AFC6D1" w14:textId="77777777" w:rsidTr="00015584">
        <w:tc>
          <w:tcPr>
            <w:tcW w:w="5000" w:type="pct"/>
            <w:gridSpan w:val="5"/>
            <w:tcBorders>
              <w:top w:val="single" w:sz="4" w:space="0" w:color="auto"/>
              <w:bottom w:val="single" w:sz="4" w:space="0" w:color="auto"/>
              <w:right w:val="single" w:sz="4" w:space="0" w:color="auto"/>
            </w:tcBorders>
            <w:shd w:val="clear" w:color="auto" w:fill="D0CECE" w:themeFill="background2" w:themeFillShade="E6"/>
            <w:vAlign w:val="center"/>
          </w:tcPr>
          <w:p w14:paraId="57C124DB" w14:textId="2DE344E7" w:rsidR="00CB1FD5" w:rsidRPr="000B54E1" w:rsidRDefault="00CB1FD5" w:rsidP="00CB1FD5">
            <w:pPr>
              <w:ind w:firstLine="0"/>
              <w:jc w:val="center"/>
              <w:rPr>
                <w:rFonts w:ascii="Calibri" w:eastAsia="Calibri" w:hAnsi="Calibri"/>
                <w:color w:val="000000"/>
              </w:rPr>
            </w:pPr>
            <w:r>
              <w:t>P</w:t>
            </w:r>
            <w:r w:rsidRPr="002A7D65">
              <w:t>rioritārā pasākuma “Pilotprojekts augstākās izglītības institucionālā finansējuma ieviešanai 2024.gadā” finansējums no 2024. gada</w:t>
            </w:r>
            <w:r>
              <w:t xml:space="preserve"> </w:t>
            </w:r>
            <w:r w:rsidRPr="002A7D65">
              <w:t>(74.resors)</w:t>
            </w:r>
          </w:p>
        </w:tc>
      </w:tr>
      <w:tr w:rsidR="00CB1FD5" w:rsidRPr="002A7D65" w14:paraId="3626E427" w14:textId="77777777" w:rsidTr="000C2595">
        <w:tc>
          <w:tcPr>
            <w:tcW w:w="1505" w:type="pct"/>
            <w:tcBorders>
              <w:top w:val="single" w:sz="4" w:space="0" w:color="auto"/>
              <w:bottom w:val="single" w:sz="4" w:space="0" w:color="auto"/>
              <w:right w:val="single" w:sz="4" w:space="0" w:color="auto"/>
            </w:tcBorders>
            <w:vAlign w:val="center"/>
          </w:tcPr>
          <w:p w14:paraId="2883E893" w14:textId="4F2652E1" w:rsidR="00CB1FD5" w:rsidRPr="002A7D65" w:rsidRDefault="00CB1FD5" w:rsidP="00CB1FD5">
            <w:pPr>
              <w:ind w:firstLine="0"/>
              <w:jc w:val="center"/>
            </w:pPr>
            <w:r w:rsidRPr="002A7D65">
              <w:t xml:space="preserve">Institucionālā finansējuma </w:t>
            </w:r>
            <w:proofErr w:type="spellStart"/>
            <w:r w:rsidRPr="002A7D65">
              <w:t>izmēģinājumprojekts</w:t>
            </w:r>
            <w:proofErr w:type="spellEnd"/>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14:paraId="677E1A07" w14:textId="0C466612" w:rsidR="00CB1FD5" w:rsidRPr="00771F1C" w:rsidRDefault="00CB1FD5" w:rsidP="00CB1FD5">
            <w:pPr>
              <w:ind w:firstLine="0"/>
              <w:jc w:val="center"/>
              <w:rPr>
                <w:rFonts w:ascii="Calibri" w:eastAsia="Calibri" w:hAnsi="Calibri"/>
                <w:color w:val="000000"/>
                <w:lang w:val="en-US"/>
              </w:rPr>
            </w:pPr>
            <w:r w:rsidRPr="002A7D65">
              <w:rPr>
                <w:color w:val="000000"/>
              </w:rPr>
              <w:t>3 300 000</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14:paraId="6BB97B72" w14:textId="03C67C56" w:rsidR="00CB1FD5" w:rsidRPr="00771F1C" w:rsidRDefault="00CB1FD5" w:rsidP="00CB1FD5">
            <w:pPr>
              <w:ind w:firstLine="0"/>
              <w:jc w:val="center"/>
              <w:rPr>
                <w:rFonts w:ascii="Calibri" w:eastAsia="Calibri" w:hAnsi="Calibri"/>
                <w:color w:val="000000"/>
                <w:lang w:val="en-US"/>
              </w:rPr>
            </w:pPr>
            <w:r w:rsidRPr="002A7D65">
              <w:rPr>
                <w:color w:val="000000"/>
              </w:rPr>
              <w:t>10 000 000</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45C1BCC0" w14:textId="709CA0C4" w:rsidR="00CB1FD5" w:rsidRPr="00771F1C" w:rsidRDefault="00CB1FD5" w:rsidP="00CB1FD5">
            <w:pPr>
              <w:ind w:firstLine="0"/>
              <w:jc w:val="center"/>
              <w:rPr>
                <w:rFonts w:ascii="Calibri" w:eastAsia="Calibri" w:hAnsi="Calibri"/>
                <w:color w:val="000000"/>
                <w:lang w:val="en-US"/>
              </w:rPr>
            </w:pPr>
            <w:r w:rsidRPr="002A7D65">
              <w:rPr>
                <w:color w:val="000000"/>
              </w:rPr>
              <w:t>10 000 000</w:t>
            </w: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14:paraId="3472E0CD" w14:textId="43D081E1" w:rsidR="00CB1FD5" w:rsidRPr="00771F1C" w:rsidRDefault="00CB1FD5" w:rsidP="00CB1FD5">
            <w:pPr>
              <w:ind w:firstLine="0"/>
              <w:jc w:val="center"/>
              <w:rPr>
                <w:rFonts w:ascii="Calibri" w:eastAsia="Calibri" w:hAnsi="Calibri"/>
                <w:color w:val="000000"/>
                <w:lang w:val="en-US"/>
              </w:rPr>
            </w:pPr>
            <w:r w:rsidRPr="002A7D65">
              <w:rPr>
                <w:color w:val="000000"/>
              </w:rPr>
              <w:t>10 000 000</w:t>
            </w:r>
          </w:p>
        </w:tc>
      </w:tr>
      <w:tr w:rsidR="008700BE" w:rsidRPr="002A7D65" w14:paraId="643183BD" w14:textId="77777777" w:rsidTr="008124FB">
        <w:tc>
          <w:tcPr>
            <w:tcW w:w="1505" w:type="pct"/>
            <w:vAlign w:val="center"/>
          </w:tcPr>
          <w:p w14:paraId="50D3DC95" w14:textId="585A5AE6" w:rsidR="008700BE" w:rsidRPr="002A7D65" w:rsidRDefault="008700BE" w:rsidP="008700BE">
            <w:pPr>
              <w:ind w:firstLine="0"/>
              <w:jc w:val="center"/>
              <w:rPr>
                <w:b/>
                <w:bCs/>
              </w:rPr>
            </w:pPr>
            <w:r w:rsidRPr="002A7D65">
              <w:rPr>
                <w:b/>
                <w:bCs/>
              </w:rPr>
              <w:t>Kopā</w:t>
            </w:r>
          </w:p>
        </w:tc>
        <w:tc>
          <w:tcPr>
            <w:tcW w:w="850" w:type="pct"/>
            <w:vAlign w:val="center"/>
          </w:tcPr>
          <w:p w14:paraId="6AC22714" w14:textId="610013F9" w:rsidR="008700BE" w:rsidRPr="005468F5" w:rsidRDefault="008700BE" w:rsidP="008700BE">
            <w:pPr>
              <w:ind w:firstLine="0"/>
              <w:jc w:val="center"/>
              <w:rPr>
                <w:b/>
                <w:bCs/>
              </w:rPr>
            </w:pPr>
            <w:r>
              <w:rPr>
                <w:rFonts w:ascii="Calibri" w:hAnsi="Calibri"/>
                <w:b/>
                <w:bCs/>
                <w:color w:val="000000"/>
              </w:rPr>
              <w:t>169 057 690</w:t>
            </w:r>
          </w:p>
        </w:tc>
        <w:tc>
          <w:tcPr>
            <w:tcW w:w="853" w:type="pct"/>
            <w:vAlign w:val="center"/>
          </w:tcPr>
          <w:p w14:paraId="35621A22" w14:textId="55388489" w:rsidR="008700BE" w:rsidRPr="005468F5" w:rsidRDefault="008700BE" w:rsidP="008700BE">
            <w:pPr>
              <w:ind w:firstLine="0"/>
              <w:jc w:val="center"/>
              <w:rPr>
                <w:b/>
                <w:bCs/>
              </w:rPr>
            </w:pPr>
            <w:r>
              <w:rPr>
                <w:rFonts w:ascii="Calibri" w:hAnsi="Calibri"/>
                <w:b/>
                <w:bCs/>
                <w:color w:val="000000"/>
              </w:rPr>
              <w:t>175 175 240</w:t>
            </w:r>
          </w:p>
        </w:tc>
        <w:tc>
          <w:tcPr>
            <w:tcW w:w="863" w:type="pct"/>
            <w:vAlign w:val="center"/>
          </w:tcPr>
          <w:p w14:paraId="0F916B76" w14:textId="0B1C00B9" w:rsidR="008700BE" w:rsidRPr="005468F5" w:rsidRDefault="008700BE" w:rsidP="008700BE">
            <w:pPr>
              <w:ind w:firstLine="0"/>
              <w:jc w:val="center"/>
              <w:rPr>
                <w:b/>
                <w:bCs/>
              </w:rPr>
            </w:pPr>
            <w:r>
              <w:rPr>
                <w:rFonts w:ascii="Calibri" w:hAnsi="Calibri"/>
                <w:b/>
                <w:bCs/>
                <w:color w:val="000000"/>
              </w:rPr>
              <w:t>174 939 037</w:t>
            </w:r>
          </w:p>
        </w:tc>
        <w:tc>
          <w:tcPr>
            <w:tcW w:w="929" w:type="pct"/>
            <w:vAlign w:val="center"/>
          </w:tcPr>
          <w:p w14:paraId="58D450ED" w14:textId="60DCA496" w:rsidR="008700BE" w:rsidRPr="005468F5" w:rsidRDefault="008700BE" w:rsidP="008700BE">
            <w:pPr>
              <w:ind w:firstLine="0"/>
              <w:jc w:val="center"/>
              <w:rPr>
                <w:b/>
                <w:bCs/>
              </w:rPr>
            </w:pPr>
            <w:r>
              <w:rPr>
                <w:rFonts w:ascii="Calibri" w:hAnsi="Calibri"/>
                <w:b/>
                <w:bCs/>
                <w:color w:val="000000"/>
              </w:rPr>
              <w:t>174 939 038</w:t>
            </w:r>
          </w:p>
        </w:tc>
      </w:tr>
      <w:tr w:rsidR="00CB1FD5" w:rsidRPr="002A7D65" w14:paraId="644031A1" w14:textId="77777777" w:rsidTr="000C2595">
        <w:tc>
          <w:tcPr>
            <w:tcW w:w="1505" w:type="pct"/>
            <w:vAlign w:val="center"/>
          </w:tcPr>
          <w:p w14:paraId="5A97DC39" w14:textId="77777777" w:rsidR="00CB1FD5" w:rsidRPr="002A7D65" w:rsidRDefault="00CB1FD5" w:rsidP="00CB1FD5">
            <w:pPr>
              <w:ind w:firstLine="0"/>
              <w:jc w:val="center"/>
              <w:rPr>
                <w:b/>
                <w:bCs/>
              </w:rPr>
            </w:pPr>
            <w:r w:rsidRPr="002A7D65">
              <w:rPr>
                <w:b/>
                <w:bCs/>
              </w:rPr>
              <w:t>Ietekme uz budžetu</w:t>
            </w:r>
          </w:p>
        </w:tc>
        <w:tc>
          <w:tcPr>
            <w:tcW w:w="850" w:type="pct"/>
            <w:vAlign w:val="center"/>
          </w:tcPr>
          <w:p w14:paraId="0EE86C7F" w14:textId="77777777" w:rsidR="00CB1FD5" w:rsidRPr="002A7D65" w:rsidRDefault="00CB1FD5" w:rsidP="00CB1FD5">
            <w:pPr>
              <w:ind w:firstLine="0"/>
              <w:jc w:val="center"/>
              <w:rPr>
                <w:b/>
                <w:bCs/>
              </w:rPr>
            </w:pPr>
            <w:r w:rsidRPr="002A7D65">
              <w:rPr>
                <w:b/>
                <w:bCs/>
              </w:rPr>
              <w:t>0</w:t>
            </w:r>
          </w:p>
        </w:tc>
        <w:tc>
          <w:tcPr>
            <w:tcW w:w="853" w:type="pct"/>
            <w:vAlign w:val="center"/>
          </w:tcPr>
          <w:p w14:paraId="05970C4C" w14:textId="77777777" w:rsidR="00CB1FD5" w:rsidRPr="002A7D65" w:rsidRDefault="00CB1FD5" w:rsidP="00CB1FD5">
            <w:pPr>
              <w:ind w:firstLine="0"/>
              <w:jc w:val="center"/>
              <w:rPr>
                <w:b/>
                <w:bCs/>
              </w:rPr>
            </w:pPr>
            <w:r w:rsidRPr="002A7D65">
              <w:rPr>
                <w:b/>
                <w:bCs/>
              </w:rPr>
              <w:t>0</w:t>
            </w:r>
          </w:p>
        </w:tc>
        <w:tc>
          <w:tcPr>
            <w:tcW w:w="863" w:type="pct"/>
            <w:vAlign w:val="center"/>
          </w:tcPr>
          <w:p w14:paraId="0EBF7004" w14:textId="77777777" w:rsidR="00CB1FD5" w:rsidRPr="002A7D65" w:rsidRDefault="00CB1FD5" w:rsidP="00CB1FD5">
            <w:pPr>
              <w:ind w:firstLine="0"/>
              <w:jc w:val="center"/>
              <w:rPr>
                <w:b/>
                <w:bCs/>
              </w:rPr>
            </w:pPr>
            <w:r w:rsidRPr="002A7D65">
              <w:rPr>
                <w:b/>
                <w:bCs/>
              </w:rPr>
              <w:t>0</w:t>
            </w:r>
          </w:p>
        </w:tc>
        <w:tc>
          <w:tcPr>
            <w:tcW w:w="929" w:type="pct"/>
            <w:vAlign w:val="center"/>
          </w:tcPr>
          <w:p w14:paraId="613909F7" w14:textId="77777777" w:rsidR="00CB1FD5" w:rsidRPr="002A7D65" w:rsidRDefault="00CB1FD5" w:rsidP="00CB1FD5">
            <w:pPr>
              <w:ind w:firstLine="0"/>
              <w:jc w:val="center"/>
              <w:rPr>
                <w:b/>
                <w:bCs/>
              </w:rPr>
            </w:pPr>
            <w:r w:rsidRPr="002A7D65">
              <w:rPr>
                <w:b/>
                <w:bCs/>
              </w:rPr>
              <w:t>0</w:t>
            </w:r>
          </w:p>
        </w:tc>
      </w:tr>
      <w:bookmarkEnd w:id="32"/>
    </w:tbl>
    <w:p w14:paraId="0DBCD2B8" w14:textId="77777777" w:rsidR="00E771A9" w:rsidRPr="002A7D65" w:rsidRDefault="00E771A9" w:rsidP="00E771A9">
      <w:pPr>
        <w:ind w:firstLine="0"/>
      </w:pPr>
    </w:p>
    <w:p w14:paraId="1FEC9F88" w14:textId="77777777" w:rsidR="00E771A9" w:rsidRPr="002A7D65" w:rsidRDefault="00E771A9" w:rsidP="00E771A9"/>
    <w:p w14:paraId="46225F10" w14:textId="1BF62A0B" w:rsidR="00E771A9" w:rsidRPr="002A7D65" w:rsidRDefault="00E771A9" w:rsidP="002E2D49">
      <w:pPr>
        <w:pStyle w:val="Heading2"/>
      </w:pPr>
      <w:bookmarkStart w:id="34" w:name="_Toc167452335"/>
      <w:r w:rsidRPr="002A7D65">
        <w:t xml:space="preserve">Scenārijs B – </w:t>
      </w:r>
      <w:proofErr w:type="spellStart"/>
      <w:r w:rsidRPr="002A7D65">
        <w:t>Izmēģinājumprojekta</w:t>
      </w:r>
      <w:proofErr w:type="spellEnd"/>
      <w:r w:rsidRPr="002A7D65">
        <w:t xml:space="preserve"> rezultātos balstīta sistēmiska pāreja uz institucionālo finansējumu</w:t>
      </w:r>
      <w:bookmarkEnd w:id="34"/>
    </w:p>
    <w:p w14:paraId="2FA5B65D" w14:textId="77777777" w:rsidR="00E771A9" w:rsidRPr="002A7D65" w:rsidRDefault="00E771A9" w:rsidP="00E771A9">
      <w:proofErr w:type="spellStart"/>
      <w:r w:rsidRPr="002A7D65">
        <w:t>Izmēģinājumprojekta</w:t>
      </w:r>
      <w:proofErr w:type="spellEnd"/>
      <w:r w:rsidRPr="002A7D65">
        <w:t xml:space="preserve"> mērķis ir aprobēt institucionālo finansējumu un atbalstīt valsts augstskolas iekšējo reformu veikšanā institucionālā finansējuma ieviešanā. Izmantojot gūtos secinājumus, ministrijas ieskatā būtu nepieciešams atbalstīt institucionālā finansējuma ieviešanu visās valsts augstākās izglītības iestādēm. Sākot ar 2026. gadu ir plānota visu valsts augstskolu pāreju uz institucionālo finansējumu.</w:t>
      </w:r>
    </w:p>
    <w:p w14:paraId="0351E78E" w14:textId="2C69B011" w:rsidR="00E771A9" w:rsidRDefault="00E771A9" w:rsidP="00E771A9">
      <w:r w:rsidRPr="002A7D65">
        <w:t xml:space="preserve">Institucionālā finansējuma ieviešanai kopējās izmaksas tiktu rēķinātas tāpat kā izmaksas </w:t>
      </w:r>
      <w:proofErr w:type="spellStart"/>
      <w:r w:rsidRPr="002A7D65">
        <w:t>izmēģinājumprojekta</w:t>
      </w:r>
      <w:proofErr w:type="spellEnd"/>
      <w:r w:rsidRPr="002A7D65">
        <w:t xml:space="preserve"> ieviešanai vienai augstākās izglītības iestādei. </w:t>
      </w:r>
      <w:r w:rsidR="00CA7F21">
        <w:t xml:space="preserve">Tas būtu papildu </w:t>
      </w:r>
      <w:r w:rsidR="007C7898">
        <w:t xml:space="preserve">viens akadēmiskā personāla “komplekts” uz katriem 1 000 studējošajiem vienā augstākās izglītības iestādē. </w:t>
      </w:r>
    </w:p>
    <w:p w14:paraId="4B1D4AAE" w14:textId="3D444F7D" w:rsidR="005F1CA7" w:rsidRDefault="00B57011" w:rsidP="005F1CA7">
      <w:pPr>
        <w:jc w:val="right"/>
      </w:pPr>
      <w:r>
        <w:t>9</w:t>
      </w:r>
      <w:r w:rsidR="005F1CA7" w:rsidRPr="00980FA5">
        <w:t>.</w:t>
      </w:r>
      <w:r w:rsidR="005F1CA7">
        <w:t xml:space="preserve"> tabula</w:t>
      </w:r>
      <w:r w:rsidR="005F1CA7" w:rsidRPr="00980FA5">
        <w:t xml:space="preserve">: </w:t>
      </w:r>
      <w:r w:rsidR="005F1CA7">
        <w:t>Scenārija B ietekme uz budžetu</w:t>
      </w:r>
    </w:p>
    <w:tbl>
      <w:tblPr>
        <w:tblStyle w:val="TableGrid"/>
        <w:tblW w:w="5000" w:type="pct"/>
        <w:tblLook w:val="04A0" w:firstRow="1" w:lastRow="0" w:firstColumn="1" w:lastColumn="0" w:noHBand="0" w:noVBand="1"/>
      </w:tblPr>
      <w:tblGrid>
        <w:gridCol w:w="2685"/>
        <w:gridCol w:w="1516"/>
        <w:gridCol w:w="1522"/>
        <w:gridCol w:w="1540"/>
        <w:gridCol w:w="1657"/>
      </w:tblGrid>
      <w:tr w:rsidR="005F1CA7" w:rsidRPr="002A7D65" w14:paraId="47FC2571" w14:textId="77777777" w:rsidTr="00407A22">
        <w:trPr>
          <w:tblHeader/>
        </w:trPr>
        <w:tc>
          <w:tcPr>
            <w:tcW w:w="1505" w:type="pct"/>
            <w:shd w:val="clear" w:color="auto" w:fill="7030A0"/>
          </w:tcPr>
          <w:p w14:paraId="60722D07" w14:textId="77777777" w:rsidR="005F1CA7" w:rsidRPr="002A7D65" w:rsidRDefault="005F1CA7" w:rsidP="00407A22">
            <w:pPr>
              <w:ind w:firstLine="0"/>
              <w:jc w:val="center"/>
              <w:rPr>
                <w:b/>
                <w:color w:val="FFFFFF" w:themeColor="background1"/>
              </w:rPr>
            </w:pPr>
            <w:r w:rsidRPr="002A7D65">
              <w:rPr>
                <w:b/>
                <w:color w:val="FFFFFF" w:themeColor="background1"/>
              </w:rPr>
              <w:t>Pozīcija</w:t>
            </w:r>
          </w:p>
          <w:p w14:paraId="173655F0" w14:textId="77777777" w:rsidR="005F1CA7" w:rsidRPr="002A7D65" w:rsidRDefault="005F1CA7" w:rsidP="00407A22">
            <w:pPr>
              <w:ind w:firstLine="0"/>
              <w:jc w:val="center"/>
              <w:rPr>
                <w:b/>
                <w:color w:val="FFFFFF" w:themeColor="background1"/>
              </w:rPr>
            </w:pPr>
          </w:p>
        </w:tc>
        <w:tc>
          <w:tcPr>
            <w:tcW w:w="850" w:type="pct"/>
            <w:shd w:val="clear" w:color="auto" w:fill="7030A0"/>
          </w:tcPr>
          <w:p w14:paraId="1A8B9D59" w14:textId="77777777" w:rsidR="005F1CA7" w:rsidRPr="002A7D65" w:rsidRDefault="005F1CA7" w:rsidP="00407A22">
            <w:pPr>
              <w:ind w:firstLine="0"/>
              <w:jc w:val="center"/>
              <w:rPr>
                <w:b/>
                <w:color w:val="FFFFFF" w:themeColor="background1"/>
              </w:rPr>
            </w:pPr>
            <w:r w:rsidRPr="002A7D65">
              <w:rPr>
                <w:b/>
                <w:color w:val="FFFFFF" w:themeColor="background1"/>
              </w:rPr>
              <w:t>2024. gads</w:t>
            </w:r>
          </w:p>
        </w:tc>
        <w:tc>
          <w:tcPr>
            <w:tcW w:w="853" w:type="pct"/>
            <w:shd w:val="clear" w:color="auto" w:fill="7030A0"/>
          </w:tcPr>
          <w:p w14:paraId="79202BE8" w14:textId="77777777" w:rsidR="005F1CA7" w:rsidRPr="002A7D65" w:rsidRDefault="005F1CA7" w:rsidP="00407A22">
            <w:pPr>
              <w:ind w:firstLine="0"/>
              <w:rPr>
                <w:b/>
                <w:color w:val="FFFFFF" w:themeColor="background1"/>
              </w:rPr>
            </w:pPr>
            <w:r w:rsidRPr="002A7D65">
              <w:rPr>
                <w:b/>
                <w:color w:val="FFFFFF" w:themeColor="background1"/>
              </w:rPr>
              <w:t>2025. gads</w:t>
            </w:r>
          </w:p>
        </w:tc>
        <w:tc>
          <w:tcPr>
            <w:tcW w:w="863" w:type="pct"/>
            <w:shd w:val="clear" w:color="auto" w:fill="7030A0"/>
          </w:tcPr>
          <w:p w14:paraId="6241558C" w14:textId="77777777" w:rsidR="005F1CA7" w:rsidRPr="002A7D65" w:rsidRDefault="005F1CA7" w:rsidP="00407A22">
            <w:pPr>
              <w:ind w:firstLine="0"/>
              <w:jc w:val="center"/>
              <w:rPr>
                <w:b/>
                <w:color w:val="FFFFFF" w:themeColor="background1"/>
              </w:rPr>
            </w:pPr>
            <w:r w:rsidRPr="002A7D65">
              <w:rPr>
                <w:b/>
                <w:color w:val="FFFFFF" w:themeColor="background1"/>
              </w:rPr>
              <w:t>2026. gads</w:t>
            </w:r>
          </w:p>
        </w:tc>
        <w:tc>
          <w:tcPr>
            <w:tcW w:w="929" w:type="pct"/>
            <w:shd w:val="clear" w:color="auto" w:fill="7030A0"/>
          </w:tcPr>
          <w:p w14:paraId="7F7BB5D8" w14:textId="77777777" w:rsidR="005F1CA7" w:rsidRPr="002A7D65" w:rsidRDefault="005F1CA7" w:rsidP="00407A22">
            <w:pPr>
              <w:ind w:firstLine="0"/>
              <w:jc w:val="center"/>
              <w:rPr>
                <w:b/>
                <w:color w:val="FFFFFF" w:themeColor="background1"/>
              </w:rPr>
            </w:pPr>
            <w:r w:rsidRPr="002A7D65">
              <w:rPr>
                <w:b/>
                <w:bCs/>
                <w:color w:val="FFFFFF" w:themeColor="background1"/>
              </w:rPr>
              <w:t>Turpmāk katru gadu</w:t>
            </w:r>
          </w:p>
        </w:tc>
      </w:tr>
      <w:tr w:rsidR="005F1CA7" w:rsidRPr="002A7D65" w14:paraId="26AD4081" w14:textId="77777777" w:rsidTr="00407A22">
        <w:tc>
          <w:tcPr>
            <w:tcW w:w="5000" w:type="pct"/>
            <w:gridSpan w:val="5"/>
            <w:tcBorders>
              <w:top w:val="single" w:sz="4" w:space="0" w:color="auto"/>
              <w:bottom w:val="single" w:sz="4" w:space="0" w:color="auto"/>
              <w:right w:val="single" w:sz="4" w:space="0" w:color="auto"/>
            </w:tcBorders>
            <w:shd w:val="clear" w:color="auto" w:fill="D0CECE" w:themeFill="background2" w:themeFillShade="E6"/>
            <w:vAlign w:val="center"/>
          </w:tcPr>
          <w:p w14:paraId="2F353133" w14:textId="77777777" w:rsidR="005F1CA7" w:rsidRPr="002A7D65" w:rsidRDefault="005F1CA7" w:rsidP="00407A22">
            <w:pPr>
              <w:ind w:firstLine="0"/>
              <w:jc w:val="center"/>
              <w:rPr>
                <w:b/>
                <w:bCs/>
                <w:color w:val="000000"/>
                <w:sz w:val="20"/>
                <w:szCs w:val="20"/>
              </w:rPr>
            </w:pPr>
            <w:r w:rsidRPr="002A7D65">
              <w:t>Esošais finansējums augstākajai izglītībai</w:t>
            </w:r>
          </w:p>
        </w:tc>
      </w:tr>
      <w:tr w:rsidR="007B2172" w:rsidRPr="002A7D65" w14:paraId="1910EE08" w14:textId="77777777" w:rsidTr="009C246E">
        <w:tc>
          <w:tcPr>
            <w:tcW w:w="1505" w:type="pct"/>
            <w:tcBorders>
              <w:top w:val="single" w:sz="4" w:space="0" w:color="auto"/>
              <w:bottom w:val="single" w:sz="4" w:space="0" w:color="auto"/>
              <w:right w:val="single" w:sz="4" w:space="0" w:color="auto"/>
            </w:tcBorders>
            <w:vAlign w:val="center"/>
          </w:tcPr>
          <w:p w14:paraId="5F905992" w14:textId="7E1FD70D" w:rsidR="007B2172" w:rsidRPr="002A7D65" w:rsidRDefault="00895C3C" w:rsidP="007B2172">
            <w:pPr>
              <w:ind w:firstLine="0"/>
              <w:jc w:val="center"/>
            </w:pPr>
            <w:r>
              <w:t>Augstākā izglītība</w:t>
            </w:r>
            <w:r w:rsidR="007B2172" w:rsidRPr="002A7D65">
              <w:t>:</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14:paraId="3FC92588" w14:textId="71E46ED1" w:rsidR="007B2172" w:rsidRPr="007D7B2F" w:rsidRDefault="007B2172" w:rsidP="007B2172">
            <w:pPr>
              <w:ind w:firstLine="0"/>
              <w:jc w:val="center"/>
              <w:rPr>
                <w:b/>
                <w:bCs/>
                <w:color w:val="000000"/>
                <w:sz w:val="20"/>
                <w:szCs w:val="20"/>
                <w:highlight w:val="yellow"/>
              </w:rPr>
            </w:pPr>
            <w:r>
              <w:rPr>
                <w:rFonts w:ascii="Calibri" w:hAnsi="Calibri"/>
                <w:color w:val="000000"/>
              </w:rPr>
              <w:t>141 031 862</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14:paraId="22B1B709" w14:textId="32216926" w:rsidR="007B2172" w:rsidRPr="007D7B2F" w:rsidRDefault="007B2172" w:rsidP="007B2172">
            <w:pPr>
              <w:ind w:firstLine="0"/>
              <w:jc w:val="center"/>
              <w:rPr>
                <w:b/>
                <w:bCs/>
                <w:color w:val="000000"/>
                <w:sz w:val="20"/>
                <w:szCs w:val="20"/>
                <w:highlight w:val="yellow"/>
              </w:rPr>
            </w:pPr>
            <w:r>
              <w:rPr>
                <w:rFonts w:ascii="Calibri" w:hAnsi="Calibri"/>
                <w:color w:val="000000"/>
              </w:rPr>
              <w:t>140 449 412</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16C7ABF0" w14:textId="0F641A32" w:rsidR="007B2172" w:rsidRPr="007D7B2F" w:rsidRDefault="007B2172" w:rsidP="007B2172">
            <w:pPr>
              <w:ind w:firstLine="0"/>
              <w:jc w:val="center"/>
              <w:rPr>
                <w:b/>
                <w:bCs/>
                <w:color w:val="000000"/>
                <w:sz w:val="20"/>
                <w:szCs w:val="20"/>
                <w:highlight w:val="yellow"/>
              </w:rPr>
            </w:pPr>
            <w:r>
              <w:rPr>
                <w:rFonts w:ascii="Calibri" w:hAnsi="Calibri"/>
                <w:color w:val="000000"/>
              </w:rPr>
              <w:t>140 213 209</w:t>
            </w: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14:paraId="051BDD99" w14:textId="526F090D" w:rsidR="007B2172" w:rsidRPr="007D7B2F" w:rsidRDefault="007B2172" w:rsidP="007B2172">
            <w:pPr>
              <w:ind w:firstLine="0"/>
              <w:jc w:val="center"/>
              <w:rPr>
                <w:b/>
                <w:bCs/>
                <w:color w:val="000000"/>
                <w:sz w:val="20"/>
                <w:szCs w:val="20"/>
                <w:highlight w:val="yellow"/>
              </w:rPr>
            </w:pPr>
            <w:r>
              <w:rPr>
                <w:rFonts w:ascii="Calibri" w:hAnsi="Calibri"/>
                <w:color w:val="000000"/>
              </w:rPr>
              <w:t>140 213 210</w:t>
            </w:r>
          </w:p>
        </w:tc>
      </w:tr>
      <w:tr w:rsidR="00CB1FD5" w:rsidRPr="002A7D65" w14:paraId="65BCDBF8" w14:textId="77777777" w:rsidTr="00035AE0">
        <w:tc>
          <w:tcPr>
            <w:tcW w:w="1505" w:type="pct"/>
            <w:tcBorders>
              <w:top w:val="single" w:sz="4" w:space="0" w:color="auto"/>
              <w:bottom w:val="single" w:sz="4" w:space="0" w:color="auto"/>
              <w:right w:val="single" w:sz="4" w:space="0" w:color="auto"/>
            </w:tcBorders>
            <w:vAlign w:val="center"/>
          </w:tcPr>
          <w:p w14:paraId="39886C44" w14:textId="77777777" w:rsidR="00CB1FD5" w:rsidRPr="002A7D65" w:rsidRDefault="00CB1FD5" w:rsidP="00CB1FD5">
            <w:pPr>
              <w:ind w:firstLine="0"/>
              <w:jc w:val="right"/>
              <w:rPr>
                <w:i/>
                <w:iCs/>
              </w:rPr>
            </w:pPr>
            <w:r w:rsidRPr="002A7D65">
              <w:rPr>
                <w:i/>
                <w:iCs/>
              </w:rPr>
              <w:t>IZM</w:t>
            </w:r>
          </w:p>
        </w:tc>
        <w:tc>
          <w:tcPr>
            <w:tcW w:w="850" w:type="pct"/>
            <w:tcBorders>
              <w:top w:val="single" w:sz="4" w:space="0" w:color="auto"/>
              <w:left w:val="single" w:sz="4" w:space="0" w:color="auto"/>
              <w:bottom w:val="single" w:sz="4" w:space="0" w:color="auto"/>
              <w:right w:val="single" w:sz="4" w:space="0" w:color="auto"/>
            </w:tcBorders>
            <w:shd w:val="clear" w:color="auto" w:fill="auto"/>
          </w:tcPr>
          <w:p w14:paraId="41AE51DB" w14:textId="5891048F" w:rsidR="00CB1FD5" w:rsidRPr="001840EE" w:rsidRDefault="00CB1FD5" w:rsidP="001840EE">
            <w:pPr>
              <w:ind w:firstLine="0"/>
              <w:jc w:val="center"/>
              <w:rPr>
                <w:rFonts w:ascii="Calibri" w:hAnsi="Calibri"/>
                <w:color w:val="000000"/>
              </w:rPr>
            </w:pPr>
            <w:r w:rsidRPr="001840EE">
              <w:rPr>
                <w:rFonts w:ascii="Calibri" w:hAnsi="Calibri"/>
                <w:color w:val="000000"/>
              </w:rPr>
              <w:t>96 609 454</w:t>
            </w:r>
          </w:p>
        </w:tc>
        <w:tc>
          <w:tcPr>
            <w:tcW w:w="853" w:type="pct"/>
            <w:tcBorders>
              <w:top w:val="single" w:sz="4" w:space="0" w:color="auto"/>
              <w:left w:val="single" w:sz="4" w:space="0" w:color="auto"/>
              <w:bottom w:val="single" w:sz="4" w:space="0" w:color="auto"/>
              <w:right w:val="single" w:sz="4" w:space="0" w:color="auto"/>
            </w:tcBorders>
            <w:shd w:val="clear" w:color="auto" w:fill="auto"/>
          </w:tcPr>
          <w:p w14:paraId="578720A3" w14:textId="22F34651" w:rsidR="00CB1FD5" w:rsidRPr="001840EE" w:rsidRDefault="00CB1FD5" w:rsidP="001840EE">
            <w:pPr>
              <w:ind w:firstLine="0"/>
              <w:jc w:val="center"/>
              <w:rPr>
                <w:rFonts w:ascii="Calibri" w:hAnsi="Calibri"/>
                <w:color w:val="000000"/>
              </w:rPr>
            </w:pPr>
            <w:r w:rsidRPr="001840EE">
              <w:rPr>
                <w:rFonts w:ascii="Calibri" w:hAnsi="Calibri"/>
                <w:color w:val="000000"/>
              </w:rPr>
              <w:t>96 759 003</w:t>
            </w:r>
          </w:p>
        </w:tc>
        <w:tc>
          <w:tcPr>
            <w:tcW w:w="863" w:type="pct"/>
            <w:tcBorders>
              <w:top w:val="single" w:sz="4" w:space="0" w:color="auto"/>
              <w:left w:val="single" w:sz="4" w:space="0" w:color="auto"/>
              <w:bottom w:val="single" w:sz="4" w:space="0" w:color="auto"/>
              <w:right w:val="single" w:sz="4" w:space="0" w:color="auto"/>
            </w:tcBorders>
            <w:shd w:val="clear" w:color="auto" w:fill="auto"/>
          </w:tcPr>
          <w:p w14:paraId="75FC047F" w14:textId="69D41623" w:rsidR="00CB1FD5" w:rsidRPr="001840EE" w:rsidRDefault="00CB1FD5" w:rsidP="001840EE">
            <w:pPr>
              <w:ind w:firstLine="0"/>
              <w:jc w:val="center"/>
              <w:rPr>
                <w:rFonts w:ascii="Calibri" w:hAnsi="Calibri"/>
                <w:color w:val="000000"/>
              </w:rPr>
            </w:pPr>
            <w:r w:rsidRPr="001840EE">
              <w:rPr>
                <w:rFonts w:ascii="Calibri" w:hAnsi="Calibri"/>
                <w:color w:val="000000"/>
              </w:rPr>
              <w:t>96 522 799</w:t>
            </w: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14:paraId="604582EE" w14:textId="3AB9A133" w:rsidR="00CB1FD5" w:rsidRPr="001840EE" w:rsidRDefault="00CB1FD5" w:rsidP="001840EE">
            <w:pPr>
              <w:ind w:firstLine="0"/>
              <w:jc w:val="center"/>
              <w:rPr>
                <w:rFonts w:ascii="Calibri" w:hAnsi="Calibri"/>
                <w:color w:val="000000"/>
              </w:rPr>
            </w:pPr>
            <w:r w:rsidRPr="001840EE">
              <w:rPr>
                <w:rFonts w:ascii="Calibri" w:hAnsi="Calibri"/>
                <w:color w:val="000000"/>
              </w:rPr>
              <w:t>96 522 799</w:t>
            </w:r>
          </w:p>
        </w:tc>
      </w:tr>
      <w:tr w:rsidR="00CB1FD5" w:rsidRPr="002A7D65" w14:paraId="13FA6AEF" w14:textId="77777777" w:rsidTr="005C7F46">
        <w:tc>
          <w:tcPr>
            <w:tcW w:w="1505" w:type="pct"/>
            <w:tcBorders>
              <w:top w:val="single" w:sz="4" w:space="0" w:color="auto"/>
              <w:bottom w:val="single" w:sz="4" w:space="0" w:color="auto"/>
              <w:right w:val="single" w:sz="4" w:space="0" w:color="auto"/>
            </w:tcBorders>
            <w:vAlign w:val="center"/>
          </w:tcPr>
          <w:p w14:paraId="194FAE6F" w14:textId="77777777" w:rsidR="00CB1FD5" w:rsidRPr="002A7D65" w:rsidRDefault="00CB1FD5" w:rsidP="00CB1FD5">
            <w:pPr>
              <w:ind w:firstLine="0"/>
              <w:jc w:val="right"/>
              <w:rPr>
                <w:i/>
                <w:iCs/>
              </w:rPr>
            </w:pPr>
            <w:r w:rsidRPr="002A7D65">
              <w:rPr>
                <w:i/>
                <w:iCs/>
              </w:rPr>
              <w:t>VM</w:t>
            </w:r>
          </w:p>
        </w:tc>
        <w:tc>
          <w:tcPr>
            <w:tcW w:w="850" w:type="pct"/>
            <w:tcBorders>
              <w:top w:val="single" w:sz="4" w:space="0" w:color="auto"/>
              <w:left w:val="single" w:sz="4" w:space="0" w:color="auto"/>
              <w:bottom w:val="single" w:sz="4" w:space="0" w:color="auto"/>
              <w:right w:val="single" w:sz="4" w:space="0" w:color="auto"/>
            </w:tcBorders>
            <w:shd w:val="clear" w:color="auto" w:fill="auto"/>
            <w:vAlign w:val="bottom"/>
          </w:tcPr>
          <w:p w14:paraId="20E39D09" w14:textId="435B9121" w:rsidR="00CB1FD5" w:rsidRPr="001840EE" w:rsidRDefault="00CB1FD5" w:rsidP="001840EE">
            <w:pPr>
              <w:ind w:firstLine="0"/>
              <w:jc w:val="center"/>
              <w:rPr>
                <w:rFonts w:ascii="Calibri" w:hAnsi="Calibri"/>
                <w:color w:val="000000"/>
              </w:rPr>
            </w:pPr>
            <w:r w:rsidRPr="001840EE">
              <w:rPr>
                <w:rFonts w:ascii="Calibri" w:hAnsi="Calibri"/>
                <w:color w:val="000000"/>
              </w:rPr>
              <w:t>21 641 083</w:t>
            </w:r>
          </w:p>
        </w:tc>
        <w:tc>
          <w:tcPr>
            <w:tcW w:w="853" w:type="pct"/>
            <w:tcBorders>
              <w:top w:val="single" w:sz="4" w:space="0" w:color="auto"/>
              <w:left w:val="nil"/>
              <w:bottom w:val="single" w:sz="4" w:space="0" w:color="auto"/>
              <w:right w:val="single" w:sz="4" w:space="0" w:color="auto"/>
            </w:tcBorders>
            <w:shd w:val="clear" w:color="auto" w:fill="auto"/>
            <w:vAlign w:val="bottom"/>
          </w:tcPr>
          <w:p w14:paraId="570C2B66" w14:textId="423E1D19" w:rsidR="00CB1FD5" w:rsidRPr="001840EE" w:rsidRDefault="00CB1FD5" w:rsidP="001840EE">
            <w:pPr>
              <w:ind w:firstLine="0"/>
              <w:jc w:val="center"/>
              <w:rPr>
                <w:rFonts w:ascii="Calibri" w:hAnsi="Calibri"/>
                <w:color w:val="000000"/>
              </w:rPr>
            </w:pPr>
            <w:r w:rsidRPr="001840EE">
              <w:rPr>
                <w:rFonts w:ascii="Calibri" w:hAnsi="Calibri"/>
                <w:color w:val="000000"/>
              </w:rPr>
              <w:t>21 641 084</w:t>
            </w:r>
          </w:p>
        </w:tc>
        <w:tc>
          <w:tcPr>
            <w:tcW w:w="863" w:type="pct"/>
            <w:tcBorders>
              <w:top w:val="single" w:sz="4" w:space="0" w:color="auto"/>
              <w:left w:val="nil"/>
              <w:bottom w:val="single" w:sz="4" w:space="0" w:color="auto"/>
              <w:right w:val="single" w:sz="4" w:space="0" w:color="auto"/>
            </w:tcBorders>
            <w:shd w:val="clear" w:color="auto" w:fill="auto"/>
            <w:vAlign w:val="bottom"/>
          </w:tcPr>
          <w:p w14:paraId="08E9CCB0" w14:textId="6A22D351" w:rsidR="00CB1FD5" w:rsidRPr="001840EE" w:rsidRDefault="00CB1FD5" w:rsidP="001840EE">
            <w:pPr>
              <w:ind w:firstLine="0"/>
              <w:jc w:val="center"/>
              <w:rPr>
                <w:rFonts w:ascii="Calibri" w:hAnsi="Calibri"/>
                <w:color w:val="000000"/>
              </w:rPr>
            </w:pPr>
            <w:r w:rsidRPr="001840EE">
              <w:rPr>
                <w:rFonts w:ascii="Calibri" w:hAnsi="Calibri"/>
                <w:color w:val="000000"/>
              </w:rPr>
              <w:t>21 641 085</w:t>
            </w:r>
          </w:p>
        </w:tc>
        <w:tc>
          <w:tcPr>
            <w:tcW w:w="929" w:type="pct"/>
            <w:tcBorders>
              <w:top w:val="single" w:sz="4" w:space="0" w:color="auto"/>
              <w:left w:val="nil"/>
              <w:bottom w:val="single" w:sz="4" w:space="0" w:color="auto"/>
              <w:right w:val="single" w:sz="4" w:space="0" w:color="auto"/>
            </w:tcBorders>
            <w:shd w:val="clear" w:color="auto" w:fill="auto"/>
            <w:vAlign w:val="bottom"/>
          </w:tcPr>
          <w:p w14:paraId="0C5E2D3E" w14:textId="21B20C8C" w:rsidR="00CB1FD5" w:rsidRPr="001840EE" w:rsidRDefault="00CB1FD5" w:rsidP="001840EE">
            <w:pPr>
              <w:ind w:firstLine="0"/>
              <w:jc w:val="center"/>
              <w:rPr>
                <w:rFonts w:ascii="Calibri" w:hAnsi="Calibri"/>
                <w:color w:val="000000"/>
              </w:rPr>
            </w:pPr>
            <w:r w:rsidRPr="001840EE">
              <w:rPr>
                <w:rFonts w:ascii="Calibri" w:hAnsi="Calibri"/>
                <w:color w:val="000000"/>
              </w:rPr>
              <w:t>21 641 086</w:t>
            </w:r>
          </w:p>
        </w:tc>
      </w:tr>
      <w:tr w:rsidR="008700BE" w:rsidRPr="002A7D65" w14:paraId="1C881047" w14:textId="77777777" w:rsidTr="00407A22">
        <w:tc>
          <w:tcPr>
            <w:tcW w:w="1505" w:type="pct"/>
            <w:tcBorders>
              <w:top w:val="single" w:sz="4" w:space="0" w:color="auto"/>
              <w:bottom w:val="single" w:sz="4" w:space="0" w:color="auto"/>
              <w:right w:val="single" w:sz="4" w:space="0" w:color="auto"/>
            </w:tcBorders>
            <w:vAlign w:val="center"/>
          </w:tcPr>
          <w:p w14:paraId="08E50A46" w14:textId="77777777" w:rsidR="008700BE" w:rsidRPr="002A7D65" w:rsidRDefault="008700BE" w:rsidP="008700BE">
            <w:pPr>
              <w:ind w:firstLine="0"/>
              <w:jc w:val="right"/>
              <w:rPr>
                <w:i/>
                <w:iCs/>
              </w:rPr>
            </w:pPr>
            <w:r w:rsidRPr="002A7D65">
              <w:rPr>
                <w:i/>
                <w:iCs/>
              </w:rPr>
              <w:t>ZM</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14:paraId="55C7E2CA" w14:textId="003034EA" w:rsidR="008700BE" w:rsidRPr="001840EE" w:rsidRDefault="008700BE" w:rsidP="008700BE">
            <w:pPr>
              <w:ind w:firstLine="0"/>
              <w:jc w:val="center"/>
              <w:rPr>
                <w:rFonts w:ascii="Calibri" w:hAnsi="Calibri"/>
                <w:color w:val="000000"/>
              </w:rPr>
            </w:pPr>
            <w:r>
              <w:rPr>
                <w:rFonts w:ascii="Calibri" w:hAnsi="Calibri"/>
                <w:color w:val="000000"/>
              </w:rPr>
              <w:t>11 494 158</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14:paraId="70544489" w14:textId="1A5E53C4" w:rsidR="008700BE" w:rsidRPr="001840EE" w:rsidRDefault="008700BE" w:rsidP="008700BE">
            <w:pPr>
              <w:ind w:firstLine="0"/>
              <w:jc w:val="center"/>
              <w:rPr>
                <w:rFonts w:ascii="Calibri" w:hAnsi="Calibri"/>
                <w:color w:val="000000"/>
              </w:rPr>
            </w:pPr>
            <w:r>
              <w:rPr>
                <w:rFonts w:ascii="Calibri" w:hAnsi="Calibri"/>
                <w:color w:val="000000"/>
              </w:rPr>
              <w:t>10 762 158</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6BD61DD9" w14:textId="7F9F1548" w:rsidR="008700BE" w:rsidRPr="001840EE" w:rsidRDefault="008700BE" w:rsidP="008700BE">
            <w:pPr>
              <w:ind w:firstLine="0"/>
              <w:jc w:val="center"/>
              <w:rPr>
                <w:rFonts w:ascii="Calibri" w:hAnsi="Calibri"/>
                <w:color w:val="000000"/>
              </w:rPr>
            </w:pPr>
            <w:r>
              <w:rPr>
                <w:rFonts w:ascii="Calibri" w:hAnsi="Calibri"/>
                <w:color w:val="000000"/>
              </w:rPr>
              <w:t>10 762 158</w:t>
            </w: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14:paraId="10440532" w14:textId="49C4F562" w:rsidR="008700BE" w:rsidRPr="001840EE" w:rsidRDefault="008700BE" w:rsidP="008700BE">
            <w:pPr>
              <w:ind w:firstLine="0"/>
              <w:jc w:val="center"/>
              <w:rPr>
                <w:rFonts w:ascii="Calibri" w:hAnsi="Calibri"/>
                <w:color w:val="000000"/>
              </w:rPr>
            </w:pPr>
            <w:r>
              <w:rPr>
                <w:rFonts w:ascii="Calibri" w:hAnsi="Calibri"/>
                <w:color w:val="000000"/>
              </w:rPr>
              <w:t>10 762 158</w:t>
            </w:r>
          </w:p>
        </w:tc>
      </w:tr>
      <w:tr w:rsidR="00CB1FD5" w:rsidRPr="002A7D65" w14:paraId="07352660" w14:textId="77777777" w:rsidTr="00035AE0">
        <w:tc>
          <w:tcPr>
            <w:tcW w:w="1505" w:type="pct"/>
            <w:tcBorders>
              <w:top w:val="single" w:sz="4" w:space="0" w:color="auto"/>
              <w:bottom w:val="single" w:sz="4" w:space="0" w:color="auto"/>
              <w:right w:val="single" w:sz="4" w:space="0" w:color="auto"/>
            </w:tcBorders>
            <w:vAlign w:val="center"/>
          </w:tcPr>
          <w:p w14:paraId="2AE547B7" w14:textId="77777777" w:rsidR="00CB1FD5" w:rsidRPr="002A7D65" w:rsidRDefault="00CB1FD5" w:rsidP="00CB1FD5">
            <w:pPr>
              <w:ind w:firstLine="0"/>
              <w:jc w:val="right"/>
              <w:rPr>
                <w:i/>
                <w:iCs/>
              </w:rPr>
            </w:pPr>
            <w:r w:rsidRPr="002A7D65">
              <w:rPr>
                <w:i/>
                <w:iCs/>
              </w:rPr>
              <w:t>KM</w:t>
            </w:r>
          </w:p>
        </w:tc>
        <w:tc>
          <w:tcPr>
            <w:tcW w:w="850" w:type="pct"/>
            <w:tcBorders>
              <w:top w:val="single" w:sz="4" w:space="0" w:color="auto"/>
              <w:left w:val="single" w:sz="4" w:space="0" w:color="auto"/>
              <w:bottom w:val="single" w:sz="4" w:space="0" w:color="auto"/>
              <w:right w:val="single" w:sz="4" w:space="0" w:color="auto"/>
            </w:tcBorders>
            <w:shd w:val="clear" w:color="auto" w:fill="auto"/>
          </w:tcPr>
          <w:p w14:paraId="38FCFBBE" w14:textId="67A458A8" w:rsidR="00CB1FD5" w:rsidRPr="001840EE" w:rsidRDefault="00CB1FD5" w:rsidP="001840EE">
            <w:pPr>
              <w:ind w:firstLine="0"/>
              <w:jc w:val="center"/>
              <w:rPr>
                <w:rFonts w:ascii="Calibri" w:hAnsi="Calibri"/>
                <w:color w:val="000000"/>
              </w:rPr>
            </w:pPr>
            <w:r w:rsidRPr="001840EE">
              <w:rPr>
                <w:rFonts w:ascii="Calibri" w:hAnsi="Calibri"/>
                <w:color w:val="000000"/>
              </w:rPr>
              <w:t>11 287 167</w:t>
            </w:r>
          </w:p>
        </w:tc>
        <w:tc>
          <w:tcPr>
            <w:tcW w:w="853" w:type="pct"/>
            <w:tcBorders>
              <w:top w:val="single" w:sz="4" w:space="0" w:color="auto"/>
              <w:left w:val="single" w:sz="4" w:space="0" w:color="auto"/>
              <w:bottom w:val="single" w:sz="4" w:space="0" w:color="auto"/>
              <w:right w:val="single" w:sz="4" w:space="0" w:color="auto"/>
            </w:tcBorders>
            <w:shd w:val="clear" w:color="auto" w:fill="auto"/>
          </w:tcPr>
          <w:p w14:paraId="5C526DB5" w14:textId="7FB19FD2" w:rsidR="00CB1FD5" w:rsidRPr="001840EE" w:rsidRDefault="00CB1FD5" w:rsidP="001840EE">
            <w:pPr>
              <w:ind w:firstLine="0"/>
              <w:jc w:val="center"/>
              <w:rPr>
                <w:rFonts w:ascii="Calibri" w:hAnsi="Calibri"/>
                <w:color w:val="000000"/>
              </w:rPr>
            </w:pPr>
            <w:r w:rsidRPr="001840EE">
              <w:rPr>
                <w:rFonts w:ascii="Calibri" w:hAnsi="Calibri"/>
                <w:color w:val="000000"/>
              </w:rPr>
              <w:t>11 287 167</w:t>
            </w:r>
          </w:p>
        </w:tc>
        <w:tc>
          <w:tcPr>
            <w:tcW w:w="863" w:type="pct"/>
            <w:tcBorders>
              <w:top w:val="single" w:sz="4" w:space="0" w:color="auto"/>
              <w:left w:val="single" w:sz="4" w:space="0" w:color="auto"/>
              <w:bottom w:val="single" w:sz="4" w:space="0" w:color="auto"/>
              <w:right w:val="single" w:sz="4" w:space="0" w:color="auto"/>
            </w:tcBorders>
            <w:shd w:val="clear" w:color="auto" w:fill="auto"/>
          </w:tcPr>
          <w:p w14:paraId="61478FBE" w14:textId="16C866F0" w:rsidR="00CB1FD5" w:rsidRPr="001840EE" w:rsidRDefault="00CB1FD5" w:rsidP="001840EE">
            <w:pPr>
              <w:ind w:firstLine="0"/>
              <w:jc w:val="center"/>
              <w:rPr>
                <w:rFonts w:ascii="Calibri" w:hAnsi="Calibri"/>
                <w:color w:val="000000"/>
              </w:rPr>
            </w:pPr>
            <w:r w:rsidRPr="001840EE">
              <w:rPr>
                <w:rFonts w:ascii="Calibri" w:hAnsi="Calibri"/>
                <w:color w:val="000000"/>
              </w:rPr>
              <w:t>11 287 167</w:t>
            </w:r>
          </w:p>
        </w:tc>
        <w:tc>
          <w:tcPr>
            <w:tcW w:w="929" w:type="pct"/>
            <w:tcBorders>
              <w:top w:val="single" w:sz="4" w:space="0" w:color="auto"/>
              <w:left w:val="single" w:sz="4" w:space="0" w:color="auto"/>
              <w:bottom w:val="single" w:sz="4" w:space="0" w:color="auto"/>
              <w:right w:val="single" w:sz="4" w:space="0" w:color="auto"/>
            </w:tcBorders>
            <w:shd w:val="clear" w:color="auto" w:fill="auto"/>
          </w:tcPr>
          <w:p w14:paraId="116267CF" w14:textId="28CC9FDE" w:rsidR="00CB1FD5" w:rsidRPr="001840EE" w:rsidRDefault="00CB1FD5" w:rsidP="001840EE">
            <w:pPr>
              <w:ind w:firstLine="0"/>
              <w:jc w:val="center"/>
              <w:rPr>
                <w:rFonts w:ascii="Calibri" w:hAnsi="Calibri"/>
                <w:color w:val="000000"/>
              </w:rPr>
            </w:pPr>
            <w:r w:rsidRPr="001840EE">
              <w:rPr>
                <w:rFonts w:ascii="Calibri" w:hAnsi="Calibri"/>
                <w:color w:val="000000"/>
              </w:rPr>
              <w:t>11 287 167</w:t>
            </w:r>
          </w:p>
        </w:tc>
      </w:tr>
      <w:tr w:rsidR="00CB1FD5" w:rsidRPr="002A7D65" w14:paraId="40CEF992" w14:textId="77777777" w:rsidTr="00407A22">
        <w:tc>
          <w:tcPr>
            <w:tcW w:w="1505" w:type="pct"/>
            <w:tcBorders>
              <w:top w:val="single" w:sz="4" w:space="0" w:color="auto"/>
              <w:bottom w:val="single" w:sz="4" w:space="0" w:color="auto"/>
              <w:right w:val="single" w:sz="4" w:space="0" w:color="auto"/>
            </w:tcBorders>
            <w:vAlign w:val="center"/>
          </w:tcPr>
          <w:p w14:paraId="1D0DF0DE" w14:textId="77777777" w:rsidR="00CB1FD5" w:rsidRPr="002A7D65" w:rsidRDefault="00CB1FD5" w:rsidP="00CB1FD5">
            <w:pPr>
              <w:ind w:firstLine="0"/>
              <w:jc w:val="center"/>
            </w:pPr>
            <w:r w:rsidRPr="002A7D65">
              <w:t>Snieguma finansējums</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14:paraId="3ADE2CC5" w14:textId="0B32CEAF" w:rsidR="00CB1FD5" w:rsidRPr="001840EE" w:rsidRDefault="00CB1FD5" w:rsidP="00CB1FD5">
            <w:pPr>
              <w:ind w:firstLine="0"/>
              <w:jc w:val="center"/>
              <w:rPr>
                <w:rFonts w:ascii="Calibri" w:hAnsi="Calibri"/>
                <w:color w:val="000000"/>
              </w:rPr>
            </w:pPr>
            <w:r w:rsidRPr="001840EE">
              <w:rPr>
                <w:rFonts w:ascii="Calibri" w:hAnsi="Calibri"/>
                <w:color w:val="000000"/>
              </w:rPr>
              <w:t>13 225 828</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14:paraId="78685D47" w14:textId="4096A1A9" w:rsidR="00CB1FD5" w:rsidRPr="001840EE" w:rsidRDefault="00CB1FD5" w:rsidP="00CB1FD5">
            <w:pPr>
              <w:ind w:firstLine="0"/>
              <w:jc w:val="center"/>
              <w:rPr>
                <w:rFonts w:ascii="Calibri" w:hAnsi="Calibri"/>
                <w:color w:val="000000"/>
              </w:rPr>
            </w:pPr>
            <w:r w:rsidRPr="001840EE">
              <w:rPr>
                <w:rFonts w:ascii="Calibri" w:hAnsi="Calibri"/>
                <w:color w:val="000000"/>
              </w:rPr>
              <w:t>13 225 828</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56CF5338" w14:textId="2A878B35" w:rsidR="00CB1FD5" w:rsidRPr="001840EE" w:rsidRDefault="00CB1FD5" w:rsidP="00CB1FD5">
            <w:pPr>
              <w:ind w:firstLine="0"/>
              <w:jc w:val="center"/>
              <w:rPr>
                <w:rFonts w:ascii="Calibri" w:hAnsi="Calibri"/>
                <w:color w:val="000000"/>
              </w:rPr>
            </w:pPr>
            <w:r w:rsidRPr="001840EE">
              <w:rPr>
                <w:rFonts w:ascii="Calibri" w:hAnsi="Calibri"/>
                <w:color w:val="000000"/>
              </w:rPr>
              <w:t>13 225 828</w:t>
            </w: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14:paraId="6AB870DF" w14:textId="2F27F64B" w:rsidR="00CB1FD5" w:rsidRPr="001840EE" w:rsidRDefault="00CB1FD5" w:rsidP="00CB1FD5">
            <w:pPr>
              <w:ind w:firstLine="0"/>
              <w:jc w:val="center"/>
              <w:rPr>
                <w:rFonts w:ascii="Calibri" w:hAnsi="Calibri"/>
                <w:color w:val="000000"/>
              </w:rPr>
            </w:pPr>
            <w:r w:rsidRPr="001840EE">
              <w:rPr>
                <w:rFonts w:ascii="Calibri" w:hAnsi="Calibri"/>
                <w:color w:val="000000"/>
              </w:rPr>
              <w:t>13 225 828</w:t>
            </w:r>
          </w:p>
        </w:tc>
      </w:tr>
      <w:tr w:rsidR="00C12CC2" w:rsidRPr="002A7D65" w14:paraId="3157EC59" w14:textId="77777777" w:rsidTr="00C12CC2">
        <w:tc>
          <w:tcPr>
            <w:tcW w:w="5000" w:type="pct"/>
            <w:gridSpan w:val="5"/>
            <w:tcBorders>
              <w:top w:val="single" w:sz="4" w:space="0" w:color="auto"/>
              <w:bottom w:val="single" w:sz="4" w:space="0" w:color="auto"/>
              <w:right w:val="single" w:sz="4" w:space="0" w:color="auto"/>
            </w:tcBorders>
            <w:shd w:val="clear" w:color="auto" w:fill="D0CECE" w:themeFill="background2" w:themeFillShade="E6"/>
            <w:vAlign w:val="center"/>
          </w:tcPr>
          <w:p w14:paraId="1AEDD6D8" w14:textId="4D908D1C" w:rsidR="00C12CC2" w:rsidRPr="000B54E1" w:rsidRDefault="00C12CC2" w:rsidP="00C12CC2">
            <w:pPr>
              <w:ind w:firstLine="0"/>
              <w:jc w:val="center"/>
              <w:rPr>
                <w:rFonts w:ascii="Calibri" w:eastAsia="Calibri" w:hAnsi="Calibri"/>
                <w:color w:val="000000"/>
              </w:rPr>
            </w:pPr>
            <w:r>
              <w:lastRenderedPageBreak/>
              <w:t>P</w:t>
            </w:r>
            <w:r w:rsidRPr="002A7D65">
              <w:t>rioritārā pasākuma “Snieguma finansējuma augstākajā izglītībā un zinātnē īpatsvara pakāpeniska palielināšana” finansējums no 2024. gada (74.resors)</w:t>
            </w:r>
          </w:p>
        </w:tc>
      </w:tr>
      <w:tr w:rsidR="00C12CC2" w:rsidRPr="002A7D65" w14:paraId="416FADB2" w14:textId="77777777" w:rsidTr="00407A22">
        <w:tc>
          <w:tcPr>
            <w:tcW w:w="1505" w:type="pct"/>
            <w:tcBorders>
              <w:top w:val="single" w:sz="4" w:space="0" w:color="auto"/>
              <w:bottom w:val="single" w:sz="4" w:space="0" w:color="auto"/>
              <w:right w:val="single" w:sz="4" w:space="0" w:color="auto"/>
            </w:tcBorders>
            <w:vAlign w:val="center"/>
          </w:tcPr>
          <w:p w14:paraId="1512CE94" w14:textId="30F86FA4" w:rsidR="00C12CC2" w:rsidRPr="002A7D65" w:rsidRDefault="00C12CC2" w:rsidP="00C12CC2">
            <w:pPr>
              <w:ind w:firstLine="0"/>
              <w:jc w:val="center"/>
            </w:pPr>
            <w:r w:rsidRPr="002A7D65">
              <w:t>Augstākās izglītības un zinātnes snieguma finansējuma palielinājums</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14:paraId="0D8BB8BE" w14:textId="34A911C0" w:rsidR="00C12CC2" w:rsidRPr="00771F1C" w:rsidRDefault="00C12CC2" w:rsidP="00C12CC2">
            <w:pPr>
              <w:ind w:firstLine="0"/>
              <w:jc w:val="center"/>
              <w:rPr>
                <w:rFonts w:ascii="Calibri" w:eastAsia="Calibri" w:hAnsi="Calibri"/>
                <w:color w:val="000000"/>
                <w:lang w:val="en-US"/>
              </w:rPr>
            </w:pPr>
            <w:r w:rsidRPr="002A7D65">
              <w:rPr>
                <w:rFonts w:ascii="Calibri" w:hAnsi="Calibri"/>
                <w:color w:val="000000"/>
              </w:rPr>
              <w:t>5 950 000</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14:paraId="443B149C" w14:textId="7E55E37A" w:rsidR="00C12CC2" w:rsidRPr="00771F1C" w:rsidRDefault="00C12CC2" w:rsidP="00C12CC2">
            <w:pPr>
              <w:ind w:firstLine="0"/>
              <w:jc w:val="center"/>
              <w:rPr>
                <w:rFonts w:ascii="Calibri" w:eastAsia="Calibri" w:hAnsi="Calibri"/>
                <w:color w:val="000000"/>
                <w:lang w:val="en-US"/>
              </w:rPr>
            </w:pPr>
            <w:r w:rsidRPr="002A7D65">
              <w:rPr>
                <w:rFonts w:ascii="Calibri" w:hAnsi="Calibri"/>
                <w:color w:val="000000"/>
              </w:rPr>
              <w:t>5 950 000</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2992785E" w14:textId="0DB371C8" w:rsidR="00C12CC2" w:rsidRPr="00771F1C" w:rsidRDefault="00C12CC2" w:rsidP="00C12CC2">
            <w:pPr>
              <w:ind w:firstLine="0"/>
              <w:jc w:val="center"/>
              <w:rPr>
                <w:rFonts w:ascii="Calibri" w:eastAsia="Calibri" w:hAnsi="Calibri"/>
                <w:color w:val="000000"/>
                <w:lang w:val="en-US"/>
              </w:rPr>
            </w:pPr>
            <w:r w:rsidRPr="002A7D65">
              <w:rPr>
                <w:rFonts w:ascii="Calibri" w:hAnsi="Calibri"/>
                <w:color w:val="000000"/>
              </w:rPr>
              <w:t>5 950 000</w:t>
            </w: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14:paraId="732083DD" w14:textId="3820AD12" w:rsidR="00C12CC2" w:rsidRPr="00771F1C" w:rsidRDefault="00C12CC2" w:rsidP="00C12CC2">
            <w:pPr>
              <w:ind w:firstLine="0"/>
              <w:jc w:val="center"/>
              <w:rPr>
                <w:rFonts w:ascii="Calibri" w:eastAsia="Calibri" w:hAnsi="Calibri"/>
                <w:color w:val="000000"/>
                <w:lang w:val="en-US"/>
              </w:rPr>
            </w:pPr>
            <w:r w:rsidRPr="002A7D65">
              <w:rPr>
                <w:rFonts w:ascii="Calibri" w:hAnsi="Calibri"/>
                <w:color w:val="000000"/>
              </w:rPr>
              <w:t>6 450 000</w:t>
            </w:r>
          </w:p>
        </w:tc>
      </w:tr>
      <w:tr w:rsidR="00C12CC2" w:rsidRPr="002A7D65" w14:paraId="07B8E485" w14:textId="77777777" w:rsidTr="00407A22">
        <w:tc>
          <w:tcPr>
            <w:tcW w:w="1505" w:type="pct"/>
            <w:tcBorders>
              <w:top w:val="single" w:sz="4" w:space="0" w:color="auto"/>
              <w:bottom w:val="single" w:sz="4" w:space="0" w:color="auto"/>
              <w:right w:val="single" w:sz="4" w:space="0" w:color="auto"/>
            </w:tcBorders>
            <w:vAlign w:val="center"/>
          </w:tcPr>
          <w:p w14:paraId="74675B9B" w14:textId="00496A2D" w:rsidR="00C12CC2" w:rsidRPr="002A7D65" w:rsidRDefault="00C12CC2" w:rsidP="00C12CC2">
            <w:pPr>
              <w:ind w:firstLine="0"/>
              <w:jc w:val="center"/>
            </w:pPr>
            <w:proofErr w:type="spellStart"/>
            <w:r w:rsidRPr="002A7D65">
              <w:t>Mikrokvalifikāciju</w:t>
            </w:r>
            <w:proofErr w:type="spellEnd"/>
            <w:r w:rsidRPr="002A7D65">
              <w:t xml:space="preserve"> ieviešanas </w:t>
            </w:r>
            <w:proofErr w:type="spellStart"/>
            <w:r w:rsidRPr="002A7D65">
              <w:t>izmēģinājumprojekts</w:t>
            </w:r>
            <w:proofErr w:type="spellEnd"/>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14:paraId="3C323043" w14:textId="57A0AF0C" w:rsidR="00C12CC2" w:rsidRPr="00771F1C" w:rsidRDefault="00C12CC2" w:rsidP="00C12CC2">
            <w:pPr>
              <w:ind w:firstLine="0"/>
              <w:jc w:val="center"/>
              <w:rPr>
                <w:rFonts w:ascii="Calibri" w:eastAsia="Calibri" w:hAnsi="Calibri"/>
                <w:color w:val="000000"/>
                <w:lang w:val="en-US"/>
              </w:rPr>
            </w:pPr>
            <w:r w:rsidRPr="002A7D65">
              <w:t>500 000</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14:paraId="6C7243FE" w14:textId="1E35CADF" w:rsidR="00C12CC2" w:rsidRPr="00771F1C" w:rsidRDefault="00C12CC2" w:rsidP="00C12CC2">
            <w:pPr>
              <w:ind w:firstLine="0"/>
              <w:jc w:val="center"/>
              <w:rPr>
                <w:rFonts w:ascii="Calibri" w:eastAsia="Calibri" w:hAnsi="Calibri"/>
                <w:color w:val="000000"/>
                <w:lang w:val="en-US"/>
              </w:rPr>
            </w:pPr>
            <w:r w:rsidRPr="002A7D65">
              <w:t>500 000</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76A75650" w14:textId="78758449" w:rsidR="00C12CC2" w:rsidRPr="00771F1C" w:rsidRDefault="00C12CC2" w:rsidP="00C12CC2">
            <w:pPr>
              <w:ind w:firstLine="0"/>
              <w:jc w:val="center"/>
              <w:rPr>
                <w:rFonts w:ascii="Calibri" w:eastAsia="Calibri" w:hAnsi="Calibri"/>
                <w:color w:val="000000"/>
                <w:lang w:val="en-US"/>
              </w:rPr>
            </w:pPr>
            <w:r w:rsidRPr="002A7D65">
              <w:t>500 000</w:t>
            </w: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14:paraId="0CA742C3" w14:textId="4F60D895" w:rsidR="00C12CC2" w:rsidRPr="00771F1C" w:rsidRDefault="00C12CC2" w:rsidP="00C12CC2">
            <w:pPr>
              <w:ind w:firstLine="0"/>
              <w:jc w:val="center"/>
              <w:rPr>
                <w:rFonts w:ascii="Calibri" w:eastAsia="Calibri" w:hAnsi="Calibri"/>
                <w:color w:val="000000"/>
                <w:lang w:val="en-US"/>
              </w:rPr>
            </w:pPr>
            <w:r w:rsidRPr="002A7D65">
              <w:t>0</w:t>
            </w:r>
          </w:p>
        </w:tc>
      </w:tr>
      <w:tr w:rsidR="00C12CC2" w:rsidRPr="002A7D65" w14:paraId="52265273" w14:textId="77777777" w:rsidTr="00407A22">
        <w:tc>
          <w:tcPr>
            <w:tcW w:w="1505" w:type="pct"/>
            <w:tcBorders>
              <w:top w:val="single" w:sz="4" w:space="0" w:color="auto"/>
              <w:bottom w:val="single" w:sz="4" w:space="0" w:color="auto"/>
              <w:right w:val="single" w:sz="4" w:space="0" w:color="auto"/>
            </w:tcBorders>
            <w:vAlign w:val="center"/>
          </w:tcPr>
          <w:p w14:paraId="5B238633" w14:textId="2C3F94B6" w:rsidR="00C12CC2" w:rsidRPr="002A7D65" w:rsidRDefault="00C12CC2" w:rsidP="00C12CC2">
            <w:pPr>
              <w:ind w:firstLine="0"/>
              <w:jc w:val="center"/>
            </w:pPr>
            <w:r w:rsidRPr="002A7D65">
              <w:t>Studējošo, absolventu un bez diploma eksmatrikulēto aptauja</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14:paraId="7CE04218" w14:textId="07997F2A" w:rsidR="00C12CC2" w:rsidRPr="00771F1C" w:rsidRDefault="00C12CC2" w:rsidP="00C12CC2">
            <w:pPr>
              <w:ind w:firstLine="0"/>
              <w:jc w:val="center"/>
              <w:rPr>
                <w:rFonts w:ascii="Calibri" w:eastAsia="Calibri" w:hAnsi="Calibri"/>
                <w:color w:val="000000"/>
                <w:lang w:val="en-US"/>
              </w:rPr>
            </w:pPr>
            <w:r w:rsidRPr="002A7D65">
              <w:t>50 000</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14:paraId="42547E51" w14:textId="4B815832" w:rsidR="00C12CC2" w:rsidRPr="00771F1C" w:rsidRDefault="00C12CC2" w:rsidP="00C12CC2">
            <w:pPr>
              <w:ind w:firstLine="0"/>
              <w:jc w:val="center"/>
              <w:rPr>
                <w:rFonts w:ascii="Calibri" w:eastAsia="Calibri" w:hAnsi="Calibri"/>
                <w:color w:val="000000"/>
                <w:lang w:val="en-US"/>
              </w:rPr>
            </w:pPr>
            <w:r w:rsidRPr="002A7D65">
              <w:t>50 000</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3E7EBCF9" w14:textId="668DF672" w:rsidR="00C12CC2" w:rsidRPr="00771F1C" w:rsidRDefault="00C12CC2" w:rsidP="00C12CC2">
            <w:pPr>
              <w:ind w:firstLine="0"/>
              <w:jc w:val="center"/>
              <w:rPr>
                <w:rFonts w:ascii="Calibri" w:eastAsia="Calibri" w:hAnsi="Calibri"/>
                <w:color w:val="000000"/>
                <w:lang w:val="en-US"/>
              </w:rPr>
            </w:pPr>
            <w:r w:rsidRPr="002A7D65">
              <w:t>50 000</w:t>
            </w: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14:paraId="1F24643E" w14:textId="6F345BC9" w:rsidR="00C12CC2" w:rsidRPr="00771F1C" w:rsidRDefault="00C12CC2" w:rsidP="00C12CC2">
            <w:pPr>
              <w:ind w:firstLine="0"/>
              <w:jc w:val="center"/>
              <w:rPr>
                <w:rFonts w:ascii="Calibri" w:eastAsia="Calibri" w:hAnsi="Calibri"/>
                <w:color w:val="000000"/>
                <w:lang w:val="en-US"/>
              </w:rPr>
            </w:pPr>
            <w:r w:rsidRPr="002A7D65">
              <w:t>50 000</w:t>
            </w:r>
          </w:p>
        </w:tc>
      </w:tr>
      <w:tr w:rsidR="00C12CC2" w:rsidRPr="002A7D65" w14:paraId="50AD8B2C" w14:textId="77777777" w:rsidTr="00407A22">
        <w:tc>
          <w:tcPr>
            <w:tcW w:w="1505" w:type="pct"/>
            <w:tcBorders>
              <w:top w:val="single" w:sz="4" w:space="0" w:color="auto"/>
              <w:bottom w:val="single" w:sz="4" w:space="0" w:color="auto"/>
              <w:right w:val="single" w:sz="4" w:space="0" w:color="auto"/>
            </w:tcBorders>
            <w:vAlign w:val="center"/>
          </w:tcPr>
          <w:p w14:paraId="2335DAE6" w14:textId="3CC970B3" w:rsidR="00C12CC2" w:rsidRPr="002A7D65" w:rsidRDefault="00C12CC2" w:rsidP="00C12CC2">
            <w:pPr>
              <w:ind w:firstLine="0"/>
              <w:jc w:val="center"/>
            </w:pPr>
            <w:r w:rsidRPr="002A7D65">
              <w:t>Zinātnes bāzes finansējuma pieaugums</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14:paraId="641B6A37" w14:textId="5B9FBD59" w:rsidR="00C12CC2" w:rsidRPr="00771F1C" w:rsidRDefault="00C12CC2" w:rsidP="00C12CC2">
            <w:pPr>
              <w:ind w:firstLine="0"/>
              <w:jc w:val="center"/>
              <w:rPr>
                <w:rFonts w:ascii="Calibri" w:eastAsia="Calibri" w:hAnsi="Calibri"/>
                <w:color w:val="000000"/>
                <w:lang w:val="en-US"/>
              </w:rPr>
            </w:pPr>
            <w:r w:rsidRPr="002A7D65">
              <w:t>5 000 000</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14:paraId="0AC6B6D2" w14:textId="3B32018F" w:rsidR="00C12CC2" w:rsidRPr="00771F1C" w:rsidRDefault="00C12CC2" w:rsidP="00C12CC2">
            <w:pPr>
              <w:ind w:firstLine="0"/>
              <w:jc w:val="center"/>
              <w:rPr>
                <w:rFonts w:ascii="Calibri" w:eastAsia="Calibri" w:hAnsi="Calibri"/>
                <w:color w:val="000000"/>
                <w:lang w:val="en-US"/>
              </w:rPr>
            </w:pPr>
            <w:r w:rsidRPr="002A7D65">
              <w:t>5 000 000</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04604CEA" w14:textId="301D5715" w:rsidR="00C12CC2" w:rsidRPr="00771F1C" w:rsidRDefault="00C12CC2" w:rsidP="00C12CC2">
            <w:pPr>
              <w:ind w:firstLine="0"/>
              <w:jc w:val="center"/>
              <w:rPr>
                <w:rFonts w:ascii="Calibri" w:eastAsia="Calibri" w:hAnsi="Calibri"/>
                <w:color w:val="000000"/>
                <w:lang w:val="en-US"/>
              </w:rPr>
            </w:pPr>
            <w:r w:rsidRPr="002A7D65">
              <w:t>5 000 000</w:t>
            </w: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14:paraId="7D737071" w14:textId="70A299A4" w:rsidR="00C12CC2" w:rsidRPr="00771F1C" w:rsidRDefault="00C12CC2" w:rsidP="00C12CC2">
            <w:pPr>
              <w:ind w:firstLine="0"/>
              <w:jc w:val="center"/>
              <w:rPr>
                <w:rFonts w:ascii="Calibri" w:eastAsia="Calibri" w:hAnsi="Calibri"/>
                <w:color w:val="000000"/>
                <w:lang w:val="en-US"/>
              </w:rPr>
            </w:pPr>
            <w:r w:rsidRPr="002A7D65">
              <w:t>5 000 000</w:t>
            </w:r>
          </w:p>
        </w:tc>
      </w:tr>
      <w:tr w:rsidR="00C12CC2" w:rsidRPr="002A7D65" w14:paraId="17564B52" w14:textId="77777777" w:rsidTr="00C12CC2">
        <w:tc>
          <w:tcPr>
            <w:tcW w:w="5000" w:type="pct"/>
            <w:gridSpan w:val="5"/>
            <w:tcBorders>
              <w:top w:val="single" w:sz="4" w:space="0" w:color="auto"/>
              <w:bottom w:val="single" w:sz="4" w:space="0" w:color="auto"/>
              <w:right w:val="single" w:sz="4" w:space="0" w:color="auto"/>
            </w:tcBorders>
            <w:shd w:val="clear" w:color="auto" w:fill="D0CECE" w:themeFill="background2" w:themeFillShade="E6"/>
            <w:vAlign w:val="center"/>
          </w:tcPr>
          <w:p w14:paraId="09CCF817" w14:textId="0E2FC0AE" w:rsidR="00C12CC2" w:rsidRPr="000B54E1" w:rsidRDefault="00C12CC2" w:rsidP="00C12CC2">
            <w:pPr>
              <w:ind w:firstLine="0"/>
              <w:jc w:val="center"/>
              <w:rPr>
                <w:rFonts w:ascii="Calibri" w:eastAsia="Calibri" w:hAnsi="Calibri"/>
                <w:color w:val="000000"/>
              </w:rPr>
            </w:pPr>
            <w:r>
              <w:t>P</w:t>
            </w:r>
            <w:r w:rsidRPr="002A7D65">
              <w:t>rioritārā pasākuma “Pilotprojekts augstākās izglītības institucionālā finansējuma ieviešanai 2024.gadā” finansējums no 2024. gada</w:t>
            </w:r>
            <w:r>
              <w:t xml:space="preserve"> </w:t>
            </w:r>
            <w:r w:rsidRPr="002A7D65">
              <w:t>(74.resors)</w:t>
            </w:r>
          </w:p>
        </w:tc>
      </w:tr>
      <w:tr w:rsidR="00C12CC2" w:rsidRPr="002A7D65" w14:paraId="07F07FAE" w14:textId="77777777" w:rsidTr="00407A22">
        <w:tc>
          <w:tcPr>
            <w:tcW w:w="1505" w:type="pct"/>
            <w:tcBorders>
              <w:top w:val="single" w:sz="4" w:space="0" w:color="auto"/>
              <w:bottom w:val="single" w:sz="4" w:space="0" w:color="auto"/>
              <w:right w:val="single" w:sz="4" w:space="0" w:color="auto"/>
            </w:tcBorders>
            <w:vAlign w:val="center"/>
          </w:tcPr>
          <w:p w14:paraId="6BBF1DB8" w14:textId="5DAA0D0D" w:rsidR="00C12CC2" w:rsidRPr="002A7D65" w:rsidRDefault="00C12CC2" w:rsidP="00C12CC2">
            <w:pPr>
              <w:ind w:firstLine="0"/>
              <w:jc w:val="center"/>
            </w:pPr>
            <w:r w:rsidRPr="002A7D65">
              <w:t xml:space="preserve">Institucionālā finansējuma </w:t>
            </w:r>
            <w:proofErr w:type="spellStart"/>
            <w:r w:rsidRPr="002A7D65">
              <w:t>izmēģinājumprojekts</w:t>
            </w:r>
            <w:proofErr w:type="spellEnd"/>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14:paraId="1DE3FAEE" w14:textId="6E5FEF05" w:rsidR="00C12CC2" w:rsidRPr="00771F1C" w:rsidRDefault="00C12CC2" w:rsidP="00C12CC2">
            <w:pPr>
              <w:ind w:firstLine="0"/>
              <w:jc w:val="center"/>
              <w:rPr>
                <w:rFonts w:ascii="Calibri" w:eastAsia="Calibri" w:hAnsi="Calibri"/>
                <w:color w:val="000000"/>
                <w:lang w:val="en-US"/>
              </w:rPr>
            </w:pPr>
            <w:r w:rsidRPr="002A7D65">
              <w:rPr>
                <w:color w:val="000000"/>
              </w:rPr>
              <w:t>3 300 000</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14:paraId="4E1E4345" w14:textId="46242638" w:rsidR="00C12CC2" w:rsidRPr="00771F1C" w:rsidRDefault="00C12CC2" w:rsidP="00C12CC2">
            <w:pPr>
              <w:ind w:firstLine="0"/>
              <w:jc w:val="center"/>
              <w:rPr>
                <w:rFonts w:ascii="Calibri" w:eastAsia="Calibri" w:hAnsi="Calibri"/>
                <w:color w:val="000000"/>
                <w:lang w:val="en-US"/>
              </w:rPr>
            </w:pPr>
            <w:r w:rsidRPr="002A7D65">
              <w:rPr>
                <w:color w:val="000000"/>
              </w:rPr>
              <w:t>10 000 000</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7A077A7D" w14:textId="3352D10F" w:rsidR="00C12CC2" w:rsidRPr="00771F1C" w:rsidRDefault="00C12CC2" w:rsidP="00C12CC2">
            <w:pPr>
              <w:ind w:firstLine="0"/>
              <w:jc w:val="center"/>
              <w:rPr>
                <w:rFonts w:ascii="Calibri" w:eastAsia="Calibri" w:hAnsi="Calibri"/>
                <w:color w:val="000000"/>
                <w:lang w:val="en-US"/>
              </w:rPr>
            </w:pPr>
            <w:r w:rsidRPr="002A7D65">
              <w:rPr>
                <w:color w:val="000000"/>
              </w:rPr>
              <w:t>10 000 000</w:t>
            </w: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14:paraId="0BF3181B" w14:textId="0B2B0D7C" w:rsidR="00C12CC2" w:rsidRPr="00771F1C" w:rsidRDefault="00C12CC2" w:rsidP="00C12CC2">
            <w:pPr>
              <w:ind w:firstLine="0"/>
              <w:jc w:val="center"/>
              <w:rPr>
                <w:rFonts w:ascii="Calibri" w:eastAsia="Calibri" w:hAnsi="Calibri"/>
                <w:color w:val="000000"/>
                <w:lang w:val="en-US"/>
              </w:rPr>
            </w:pPr>
            <w:r w:rsidRPr="002A7D65">
              <w:rPr>
                <w:color w:val="000000"/>
              </w:rPr>
              <w:t>10 000 000</w:t>
            </w:r>
          </w:p>
        </w:tc>
      </w:tr>
      <w:tr w:rsidR="00C12CC2" w:rsidRPr="002A7D65" w14:paraId="4DF1CB6F" w14:textId="77777777" w:rsidTr="00E90F32">
        <w:tc>
          <w:tcPr>
            <w:tcW w:w="5000" w:type="pct"/>
            <w:gridSpan w:val="5"/>
            <w:shd w:val="clear" w:color="auto" w:fill="D0CECE" w:themeFill="background2" w:themeFillShade="E6"/>
            <w:vAlign w:val="center"/>
          </w:tcPr>
          <w:p w14:paraId="49E41476" w14:textId="0FE7B49B" w:rsidR="00C12CC2" w:rsidRPr="002A7D65" w:rsidRDefault="00C12CC2" w:rsidP="00C12CC2">
            <w:pPr>
              <w:ind w:firstLine="0"/>
              <w:jc w:val="center"/>
              <w:rPr>
                <w:color w:val="000000"/>
              </w:rPr>
            </w:pPr>
            <w:r>
              <w:rPr>
                <w:color w:val="000000"/>
              </w:rPr>
              <w:t>Institucionālā finansējuma ieviešana visās augstskolās ar papildu finansējumu</w:t>
            </w:r>
          </w:p>
        </w:tc>
      </w:tr>
      <w:tr w:rsidR="006C03FF" w:rsidRPr="002A7D65" w14:paraId="42E36051" w14:textId="77777777" w:rsidTr="002D3EE2">
        <w:tc>
          <w:tcPr>
            <w:tcW w:w="1505" w:type="pct"/>
            <w:vAlign w:val="bottom"/>
          </w:tcPr>
          <w:p w14:paraId="32D4F600" w14:textId="1EA30625" w:rsidR="006C03FF" w:rsidRPr="002A7D65" w:rsidRDefault="006C03FF" w:rsidP="006C03FF">
            <w:pPr>
              <w:ind w:firstLine="0"/>
              <w:jc w:val="center"/>
            </w:pPr>
            <w:r>
              <w:t>Kopējās izmaksas</w:t>
            </w:r>
          </w:p>
        </w:tc>
        <w:tc>
          <w:tcPr>
            <w:tcW w:w="850" w:type="pct"/>
            <w:vAlign w:val="center"/>
          </w:tcPr>
          <w:p w14:paraId="2EEE2EED" w14:textId="77777777" w:rsidR="006C03FF" w:rsidRPr="002A7D65" w:rsidRDefault="006C03FF" w:rsidP="006C03FF">
            <w:pPr>
              <w:ind w:firstLine="0"/>
              <w:jc w:val="center"/>
              <w:rPr>
                <w:color w:val="000000"/>
              </w:rPr>
            </w:pPr>
          </w:p>
        </w:tc>
        <w:tc>
          <w:tcPr>
            <w:tcW w:w="853" w:type="pct"/>
            <w:vAlign w:val="center"/>
          </w:tcPr>
          <w:p w14:paraId="028AF42C" w14:textId="77777777" w:rsidR="006C03FF" w:rsidRPr="002A7D65" w:rsidRDefault="006C03FF" w:rsidP="006C03FF">
            <w:pPr>
              <w:ind w:firstLine="0"/>
              <w:jc w:val="center"/>
              <w:rPr>
                <w:color w:val="000000"/>
              </w:rPr>
            </w:pPr>
          </w:p>
        </w:tc>
        <w:tc>
          <w:tcPr>
            <w:tcW w:w="863" w:type="pct"/>
          </w:tcPr>
          <w:p w14:paraId="27C5E6B2" w14:textId="56FBE28F" w:rsidR="006C03FF" w:rsidRPr="00FE0877" w:rsidRDefault="006C03FF" w:rsidP="006C03FF">
            <w:pPr>
              <w:ind w:firstLine="0"/>
              <w:jc w:val="center"/>
              <w:rPr>
                <w:color w:val="000000"/>
              </w:rPr>
            </w:pPr>
            <w:r w:rsidRPr="00FE0877">
              <w:t>26 754 793</w:t>
            </w:r>
          </w:p>
        </w:tc>
        <w:tc>
          <w:tcPr>
            <w:tcW w:w="929" w:type="pct"/>
          </w:tcPr>
          <w:p w14:paraId="6E3002AC" w14:textId="5CCE7312" w:rsidR="006C03FF" w:rsidRPr="00FE0877" w:rsidRDefault="006C03FF" w:rsidP="006C03FF">
            <w:pPr>
              <w:ind w:firstLine="0"/>
              <w:jc w:val="center"/>
              <w:rPr>
                <w:color w:val="000000"/>
              </w:rPr>
            </w:pPr>
            <w:r w:rsidRPr="00FE0877">
              <w:t>26 754 793</w:t>
            </w:r>
          </w:p>
        </w:tc>
      </w:tr>
      <w:tr w:rsidR="000F3D34" w:rsidRPr="002A7D65" w14:paraId="10C87983" w14:textId="77777777" w:rsidTr="005976DA">
        <w:tc>
          <w:tcPr>
            <w:tcW w:w="1505" w:type="pct"/>
            <w:vAlign w:val="center"/>
          </w:tcPr>
          <w:p w14:paraId="4DFC5202" w14:textId="77777777" w:rsidR="000F3D34" w:rsidRPr="002A7D65" w:rsidRDefault="000F3D34" w:rsidP="000F3D34">
            <w:pPr>
              <w:ind w:firstLine="0"/>
              <w:jc w:val="center"/>
              <w:rPr>
                <w:b/>
                <w:bCs/>
              </w:rPr>
            </w:pPr>
            <w:r w:rsidRPr="002A7D65">
              <w:rPr>
                <w:b/>
                <w:bCs/>
              </w:rPr>
              <w:t>Kopā</w:t>
            </w:r>
          </w:p>
        </w:tc>
        <w:tc>
          <w:tcPr>
            <w:tcW w:w="850" w:type="pct"/>
            <w:vAlign w:val="center"/>
          </w:tcPr>
          <w:p w14:paraId="63E2EB2B" w14:textId="7ED9168E" w:rsidR="000F3D34" w:rsidRPr="002A7D65" w:rsidRDefault="000F3D34" w:rsidP="000F3D34">
            <w:pPr>
              <w:ind w:firstLine="0"/>
              <w:jc w:val="center"/>
              <w:rPr>
                <w:b/>
                <w:bCs/>
              </w:rPr>
            </w:pPr>
            <w:r>
              <w:rPr>
                <w:rFonts w:ascii="Calibri" w:hAnsi="Calibri"/>
                <w:b/>
                <w:bCs/>
                <w:color w:val="000000"/>
              </w:rPr>
              <w:t>169 057 690</w:t>
            </w:r>
          </w:p>
        </w:tc>
        <w:tc>
          <w:tcPr>
            <w:tcW w:w="853" w:type="pct"/>
            <w:vAlign w:val="center"/>
          </w:tcPr>
          <w:p w14:paraId="1364C5AA" w14:textId="55A81ED1" w:rsidR="000F3D34" w:rsidRPr="002A7D65" w:rsidRDefault="000F3D34" w:rsidP="000F3D34">
            <w:pPr>
              <w:ind w:firstLine="0"/>
              <w:jc w:val="center"/>
              <w:rPr>
                <w:b/>
                <w:bCs/>
              </w:rPr>
            </w:pPr>
            <w:r>
              <w:rPr>
                <w:rFonts w:ascii="Calibri" w:hAnsi="Calibri"/>
                <w:b/>
                <w:bCs/>
                <w:color w:val="000000"/>
              </w:rPr>
              <w:t>175 175 240</w:t>
            </w:r>
          </w:p>
        </w:tc>
        <w:tc>
          <w:tcPr>
            <w:tcW w:w="863" w:type="pct"/>
          </w:tcPr>
          <w:p w14:paraId="1BFFB399" w14:textId="105182FB" w:rsidR="000F3D34" w:rsidRPr="00FE0877" w:rsidRDefault="000F3D34" w:rsidP="000F3D34">
            <w:pPr>
              <w:ind w:firstLine="0"/>
              <w:jc w:val="center"/>
              <w:rPr>
                <w:b/>
                <w:bCs/>
              </w:rPr>
            </w:pPr>
            <w:r w:rsidRPr="00FE0877">
              <w:rPr>
                <w:b/>
                <w:bCs/>
              </w:rPr>
              <w:t>201 693 830</w:t>
            </w:r>
          </w:p>
        </w:tc>
        <w:tc>
          <w:tcPr>
            <w:tcW w:w="929" w:type="pct"/>
          </w:tcPr>
          <w:p w14:paraId="3B99A7D5" w14:textId="6F4EE6AD" w:rsidR="000F3D34" w:rsidRPr="00FE0877" w:rsidRDefault="000F3D34" w:rsidP="000F3D34">
            <w:pPr>
              <w:ind w:firstLine="0"/>
              <w:jc w:val="center"/>
              <w:rPr>
                <w:b/>
                <w:bCs/>
              </w:rPr>
            </w:pPr>
            <w:r w:rsidRPr="00FE0877">
              <w:rPr>
                <w:b/>
                <w:bCs/>
              </w:rPr>
              <w:t>201 693 831</w:t>
            </w:r>
          </w:p>
        </w:tc>
      </w:tr>
      <w:tr w:rsidR="006C03FF" w:rsidRPr="002A7D65" w14:paraId="3904E112" w14:textId="77777777" w:rsidTr="00BC2AFE">
        <w:tc>
          <w:tcPr>
            <w:tcW w:w="1505" w:type="pct"/>
            <w:vAlign w:val="center"/>
          </w:tcPr>
          <w:p w14:paraId="75EA55FA" w14:textId="77777777" w:rsidR="006C03FF" w:rsidRPr="002A7D65" w:rsidRDefault="006C03FF" w:rsidP="006C03FF">
            <w:pPr>
              <w:ind w:firstLine="0"/>
              <w:jc w:val="center"/>
              <w:rPr>
                <w:b/>
                <w:bCs/>
              </w:rPr>
            </w:pPr>
            <w:r w:rsidRPr="002A7D65">
              <w:rPr>
                <w:b/>
                <w:bCs/>
              </w:rPr>
              <w:t>Ietekme uz budžetu</w:t>
            </w:r>
          </w:p>
        </w:tc>
        <w:tc>
          <w:tcPr>
            <w:tcW w:w="850" w:type="pct"/>
            <w:vAlign w:val="center"/>
          </w:tcPr>
          <w:p w14:paraId="39F14B49" w14:textId="77777777" w:rsidR="006C03FF" w:rsidRPr="002A7D65" w:rsidRDefault="006C03FF" w:rsidP="006C03FF">
            <w:pPr>
              <w:ind w:firstLine="0"/>
              <w:jc w:val="center"/>
              <w:rPr>
                <w:b/>
                <w:bCs/>
              </w:rPr>
            </w:pPr>
            <w:r w:rsidRPr="002A7D65">
              <w:rPr>
                <w:b/>
                <w:bCs/>
              </w:rPr>
              <w:t>0</w:t>
            </w:r>
          </w:p>
        </w:tc>
        <w:tc>
          <w:tcPr>
            <w:tcW w:w="853" w:type="pct"/>
            <w:vAlign w:val="center"/>
          </w:tcPr>
          <w:p w14:paraId="78E205E9" w14:textId="77777777" w:rsidR="006C03FF" w:rsidRPr="002A7D65" w:rsidRDefault="006C03FF" w:rsidP="006C03FF">
            <w:pPr>
              <w:ind w:firstLine="0"/>
              <w:jc w:val="center"/>
              <w:rPr>
                <w:b/>
                <w:bCs/>
              </w:rPr>
            </w:pPr>
            <w:r w:rsidRPr="002A7D65">
              <w:rPr>
                <w:b/>
                <w:bCs/>
              </w:rPr>
              <w:t>0</w:t>
            </w:r>
          </w:p>
        </w:tc>
        <w:tc>
          <w:tcPr>
            <w:tcW w:w="863" w:type="pct"/>
          </w:tcPr>
          <w:p w14:paraId="1209A60C" w14:textId="1BB67E37" w:rsidR="006C03FF" w:rsidRPr="00FE0877" w:rsidRDefault="006C03FF" w:rsidP="006C03FF">
            <w:pPr>
              <w:ind w:firstLine="0"/>
              <w:jc w:val="center"/>
              <w:rPr>
                <w:rFonts w:ascii="Calibri" w:hAnsi="Calibri"/>
                <w:b/>
                <w:bCs/>
                <w:color w:val="000000"/>
              </w:rPr>
            </w:pPr>
            <w:r w:rsidRPr="00FE0877">
              <w:rPr>
                <w:b/>
                <w:bCs/>
              </w:rPr>
              <w:t>26 754 793</w:t>
            </w:r>
          </w:p>
        </w:tc>
        <w:tc>
          <w:tcPr>
            <w:tcW w:w="929" w:type="pct"/>
          </w:tcPr>
          <w:p w14:paraId="1733CB24" w14:textId="0F66D74E" w:rsidR="006C03FF" w:rsidRPr="00FE0877" w:rsidRDefault="006C03FF" w:rsidP="006C03FF">
            <w:pPr>
              <w:ind w:firstLine="0"/>
              <w:jc w:val="center"/>
              <w:rPr>
                <w:b/>
                <w:bCs/>
              </w:rPr>
            </w:pPr>
            <w:r w:rsidRPr="00FE0877">
              <w:rPr>
                <w:b/>
                <w:bCs/>
              </w:rPr>
              <w:t>26 754 793</w:t>
            </w:r>
          </w:p>
        </w:tc>
      </w:tr>
    </w:tbl>
    <w:p w14:paraId="6124EBAD" w14:textId="77777777" w:rsidR="005F1CA7" w:rsidRPr="002A7D65" w:rsidRDefault="005F1CA7" w:rsidP="00E771A9"/>
    <w:p w14:paraId="76D62F6B" w14:textId="77777777" w:rsidR="00E771A9" w:rsidRPr="002A7D65" w:rsidRDefault="00E771A9" w:rsidP="00E771A9">
      <w:pPr>
        <w:ind w:firstLine="0"/>
        <w:sectPr w:rsidR="00E771A9" w:rsidRPr="002A7D65" w:rsidSect="00063F2E">
          <w:headerReference w:type="default" r:id="rId16"/>
          <w:footerReference w:type="default" r:id="rId17"/>
          <w:footerReference w:type="first" r:id="rId18"/>
          <w:pgSz w:w="11906" w:h="16838"/>
          <w:pgMar w:top="1417" w:right="1558" w:bottom="1417" w:left="1418" w:header="708" w:footer="708" w:gutter="0"/>
          <w:cols w:space="708"/>
          <w:titlePg/>
          <w:docGrid w:linePitch="360"/>
        </w:sectPr>
      </w:pPr>
    </w:p>
    <w:p w14:paraId="11E61F60" w14:textId="77777777" w:rsidR="00E771A9" w:rsidRPr="002A7D65" w:rsidRDefault="00E771A9" w:rsidP="00E771A9">
      <w:pPr>
        <w:ind w:firstLine="0"/>
      </w:pPr>
    </w:p>
    <w:p w14:paraId="444E50F5" w14:textId="77777777" w:rsidR="00E771A9" w:rsidRPr="002A7D65" w:rsidRDefault="00E771A9" w:rsidP="00E771A9">
      <w:pPr>
        <w:pStyle w:val="Heading2"/>
      </w:pPr>
      <w:bookmarkStart w:id="35" w:name="_Toc167452336"/>
      <w:r w:rsidRPr="002A7D65">
        <w:t>Scenāriju ietekme uz budžetu</w:t>
      </w:r>
      <w:bookmarkEnd w:id="35"/>
    </w:p>
    <w:p w14:paraId="0B84B1DB" w14:textId="77777777" w:rsidR="00E771A9" w:rsidRPr="002A7D65" w:rsidRDefault="00E771A9" w:rsidP="00E771A9"/>
    <w:tbl>
      <w:tblPr>
        <w:tblStyle w:val="TableGrid"/>
        <w:tblW w:w="0" w:type="auto"/>
        <w:tblLook w:val="04A0" w:firstRow="1" w:lastRow="0" w:firstColumn="1" w:lastColumn="0" w:noHBand="0" w:noVBand="1"/>
      </w:tblPr>
      <w:tblGrid>
        <w:gridCol w:w="2112"/>
        <w:gridCol w:w="1905"/>
        <w:gridCol w:w="1400"/>
        <w:gridCol w:w="1400"/>
        <w:gridCol w:w="1400"/>
        <w:gridCol w:w="1311"/>
        <w:gridCol w:w="1311"/>
        <w:gridCol w:w="1311"/>
        <w:gridCol w:w="1312"/>
      </w:tblGrid>
      <w:tr w:rsidR="00E771A9" w:rsidRPr="002A7D65" w14:paraId="6214A066" w14:textId="77777777" w:rsidTr="000C2595">
        <w:trPr>
          <w:trHeight w:val="537"/>
          <w:tblHeader/>
        </w:trPr>
        <w:tc>
          <w:tcPr>
            <w:tcW w:w="2112" w:type="dxa"/>
            <w:vMerge w:val="restart"/>
            <w:shd w:val="clear" w:color="auto" w:fill="7030A0"/>
          </w:tcPr>
          <w:p w14:paraId="7CA7D2C8" w14:textId="77777777" w:rsidR="00E771A9" w:rsidRPr="002A7D65" w:rsidRDefault="00E771A9" w:rsidP="000C2595">
            <w:pPr>
              <w:ind w:firstLine="0"/>
              <w:jc w:val="center"/>
              <w:rPr>
                <w:b/>
                <w:color w:val="FFFFFF" w:themeColor="background1"/>
                <w:sz w:val="22"/>
                <w:szCs w:val="22"/>
              </w:rPr>
            </w:pPr>
            <w:r w:rsidRPr="002A7D65">
              <w:rPr>
                <w:b/>
                <w:color w:val="FFFFFF" w:themeColor="background1"/>
                <w:sz w:val="22"/>
                <w:szCs w:val="22"/>
              </w:rPr>
              <w:t>Scenārijs</w:t>
            </w:r>
          </w:p>
          <w:p w14:paraId="4D4E33A6" w14:textId="77777777" w:rsidR="00E771A9" w:rsidRPr="002A7D65" w:rsidRDefault="00E771A9" w:rsidP="000C2595">
            <w:pPr>
              <w:ind w:firstLine="0"/>
              <w:jc w:val="center"/>
              <w:rPr>
                <w:b/>
                <w:color w:val="FFFFFF" w:themeColor="background1"/>
                <w:sz w:val="22"/>
                <w:szCs w:val="22"/>
              </w:rPr>
            </w:pPr>
          </w:p>
        </w:tc>
        <w:tc>
          <w:tcPr>
            <w:tcW w:w="1905" w:type="dxa"/>
            <w:vMerge w:val="restart"/>
            <w:shd w:val="clear" w:color="auto" w:fill="7030A0"/>
          </w:tcPr>
          <w:p w14:paraId="4C203DD9" w14:textId="77777777" w:rsidR="00E771A9" w:rsidRPr="002A7D65" w:rsidRDefault="00E771A9" w:rsidP="000C2595">
            <w:pPr>
              <w:ind w:firstLine="0"/>
              <w:jc w:val="center"/>
              <w:rPr>
                <w:b/>
                <w:color w:val="FFFFFF" w:themeColor="background1"/>
                <w:sz w:val="22"/>
                <w:szCs w:val="22"/>
              </w:rPr>
            </w:pPr>
            <w:r w:rsidRPr="002A7D65">
              <w:rPr>
                <w:b/>
                <w:color w:val="FFFFFF" w:themeColor="background1"/>
                <w:sz w:val="22"/>
                <w:szCs w:val="22"/>
              </w:rPr>
              <w:t>Budžeta apakšprogrammas kods un nosaukums</w:t>
            </w:r>
          </w:p>
        </w:tc>
        <w:tc>
          <w:tcPr>
            <w:tcW w:w="4200" w:type="dxa"/>
            <w:gridSpan w:val="3"/>
            <w:shd w:val="clear" w:color="auto" w:fill="7030A0"/>
          </w:tcPr>
          <w:p w14:paraId="0BF17FCF" w14:textId="77777777" w:rsidR="00E771A9" w:rsidRPr="002A7D65" w:rsidRDefault="00E771A9" w:rsidP="000C2595">
            <w:pPr>
              <w:ind w:firstLine="0"/>
              <w:jc w:val="center"/>
              <w:rPr>
                <w:b/>
                <w:color w:val="FFFFFF" w:themeColor="background1"/>
                <w:sz w:val="22"/>
                <w:szCs w:val="22"/>
              </w:rPr>
            </w:pPr>
            <w:r w:rsidRPr="002A7D65">
              <w:rPr>
                <w:b/>
                <w:color w:val="FFFFFF" w:themeColor="background1"/>
                <w:sz w:val="22"/>
                <w:szCs w:val="22"/>
              </w:rPr>
              <w:t>Vidējā termiņa budžeta ietvara likumā plānotais finansējums</w:t>
            </w:r>
          </w:p>
        </w:tc>
        <w:tc>
          <w:tcPr>
            <w:tcW w:w="5245" w:type="dxa"/>
            <w:gridSpan w:val="4"/>
            <w:shd w:val="clear" w:color="auto" w:fill="7030A0"/>
          </w:tcPr>
          <w:p w14:paraId="4AC0D0BC" w14:textId="77777777" w:rsidR="00E771A9" w:rsidRPr="002A7D65" w:rsidRDefault="00E771A9" w:rsidP="000C2595">
            <w:pPr>
              <w:ind w:firstLine="0"/>
              <w:jc w:val="center"/>
              <w:rPr>
                <w:b/>
                <w:color w:val="FFFFFF" w:themeColor="background1"/>
                <w:sz w:val="22"/>
                <w:szCs w:val="22"/>
              </w:rPr>
            </w:pPr>
            <w:r w:rsidRPr="002A7D65">
              <w:rPr>
                <w:b/>
                <w:color w:val="FFFFFF" w:themeColor="background1"/>
                <w:sz w:val="22"/>
                <w:szCs w:val="22"/>
              </w:rPr>
              <w:t>Nepieciešamais papildu finansējums</w:t>
            </w:r>
          </w:p>
        </w:tc>
      </w:tr>
      <w:tr w:rsidR="00E771A9" w:rsidRPr="002A7D65" w14:paraId="4C735A83" w14:textId="77777777" w:rsidTr="00FC6EB1">
        <w:trPr>
          <w:trHeight w:val="143"/>
          <w:tblHeader/>
        </w:trPr>
        <w:tc>
          <w:tcPr>
            <w:tcW w:w="2112" w:type="dxa"/>
            <w:vMerge/>
            <w:shd w:val="clear" w:color="auto" w:fill="7030A0"/>
          </w:tcPr>
          <w:p w14:paraId="4C5A5CAB" w14:textId="77777777" w:rsidR="00E771A9" w:rsidRPr="002A7D65" w:rsidRDefault="00E771A9" w:rsidP="000C2595">
            <w:pPr>
              <w:ind w:firstLine="0"/>
              <w:jc w:val="center"/>
              <w:rPr>
                <w:b/>
                <w:color w:val="FFFFFF" w:themeColor="background1"/>
                <w:sz w:val="22"/>
                <w:szCs w:val="22"/>
              </w:rPr>
            </w:pPr>
          </w:p>
        </w:tc>
        <w:tc>
          <w:tcPr>
            <w:tcW w:w="1905" w:type="dxa"/>
            <w:vMerge/>
            <w:shd w:val="clear" w:color="auto" w:fill="7030A0"/>
          </w:tcPr>
          <w:p w14:paraId="41A1F060" w14:textId="77777777" w:rsidR="00E771A9" w:rsidRPr="002A7D65" w:rsidRDefault="00E771A9" w:rsidP="000C2595">
            <w:pPr>
              <w:ind w:firstLine="0"/>
              <w:jc w:val="center"/>
              <w:rPr>
                <w:b/>
                <w:color w:val="FFFFFF" w:themeColor="background1"/>
                <w:sz w:val="22"/>
                <w:szCs w:val="22"/>
              </w:rPr>
            </w:pPr>
          </w:p>
        </w:tc>
        <w:tc>
          <w:tcPr>
            <w:tcW w:w="1400" w:type="dxa"/>
            <w:tcBorders>
              <w:bottom w:val="single" w:sz="4" w:space="0" w:color="auto"/>
            </w:tcBorders>
            <w:shd w:val="clear" w:color="auto" w:fill="7030A0"/>
          </w:tcPr>
          <w:p w14:paraId="7C8F6E0F" w14:textId="77777777" w:rsidR="00E771A9" w:rsidRPr="002A7D65" w:rsidRDefault="00E771A9" w:rsidP="000C2595">
            <w:pPr>
              <w:ind w:firstLine="0"/>
              <w:jc w:val="center"/>
              <w:rPr>
                <w:b/>
                <w:color w:val="FFFFFF" w:themeColor="background1"/>
                <w:sz w:val="22"/>
                <w:szCs w:val="22"/>
              </w:rPr>
            </w:pPr>
            <w:r w:rsidRPr="002A7D65">
              <w:rPr>
                <w:b/>
                <w:color w:val="FFFFFF" w:themeColor="background1"/>
                <w:sz w:val="22"/>
                <w:szCs w:val="22"/>
              </w:rPr>
              <w:t>2024. gads</w:t>
            </w:r>
          </w:p>
        </w:tc>
        <w:tc>
          <w:tcPr>
            <w:tcW w:w="1400" w:type="dxa"/>
            <w:tcBorders>
              <w:bottom w:val="single" w:sz="4" w:space="0" w:color="auto"/>
            </w:tcBorders>
            <w:shd w:val="clear" w:color="auto" w:fill="7030A0"/>
          </w:tcPr>
          <w:p w14:paraId="257E37D4" w14:textId="77777777" w:rsidR="00E771A9" w:rsidRPr="002A7D65" w:rsidRDefault="00E771A9" w:rsidP="000C2595">
            <w:pPr>
              <w:ind w:firstLine="0"/>
              <w:jc w:val="center"/>
              <w:rPr>
                <w:b/>
                <w:color w:val="FFFFFF" w:themeColor="background1"/>
                <w:sz w:val="22"/>
                <w:szCs w:val="22"/>
              </w:rPr>
            </w:pPr>
            <w:r w:rsidRPr="002A7D65">
              <w:rPr>
                <w:b/>
                <w:color w:val="FFFFFF" w:themeColor="background1"/>
                <w:sz w:val="22"/>
                <w:szCs w:val="22"/>
              </w:rPr>
              <w:t>2025. gads</w:t>
            </w:r>
          </w:p>
        </w:tc>
        <w:tc>
          <w:tcPr>
            <w:tcW w:w="1400" w:type="dxa"/>
            <w:tcBorders>
              <w:bottom w:val="single" w:sz="4" w:space="0" w:color="auto"/>
            </w:tcBorders>
            <w:shd w:val="clear" w:color="auto" w:fill="7030A0"/>
          </w:tcPr>
          <w:p w14:paraId="76307596" w14:textId="77777777" w:rsidR="00E771A9" w:rsidRPr="002A7D65" w:rsidRDefault="00E771A9" w:rsidP="000C2595">
            <w:pPr>
              <w:ind w:firstLine="0"/>
              <w:jc w:val="center"/>
              <w:rPr>
                <w:b/>
                <w:color w:val="FFFFFF" w:themeColor="background1"/>
                <w:sz w:val="22"/>
                <w:szCs w:val="22"/>
              </w:rPr>
            </w:pPr>
            <w:r w:rsidRPr="002A7D65">
              <w:rPr>
                <w:b/>
                <w:color w:val="FFFFFF" w:themeColor="background1"/>
                <w:sz w:val="22"/>
                <w:szCs w:val="22"/>
              </w:rPr>
              <w:t>2026. gads</w:t>
            </w:r>
          </w:p>
        </w:tc>
        <w:tc>
          <w:tcPr>
            <w:tcW w:w="1311" w:type="dxa"/>
            <w:shd w:val="clear" w:color="auto" w:fill="7030A0"/>
          </w:tcPr>
          <w:p w14:paraId="3C1BF6D3" w14:textId="77777777" w:rsidR="00E771A9" w:rsidRPr="002A7D65" w:rsidRDefault="00E771A9" w:rsidP="000C2595">
            <w:pPr>
              <w:ind w:firstLine="0"/>
              <w:jc w:val="center"/>
              <w:rPr>
                <w:b/>
                <w:color w:val="FFFFFF" w:themeColor="background1"/>
                <w:sz w:val="22"/>
                <w:szCs w:val="22"/>
              </w:rPr>
            </w:pPr>
            <w:r w:rsidRPr="002A7D65">
              <w:rPr>
                <w:b/>
                <w:color w:val="FFFFFF" w:themeColor="background1"/>
                <w:sz w:val="22"/>
                <w:szCs w:val="22"/>
              </w:rPr>
              <w:t>2024. gads</w:t>
            </w:r>
          </w:p>
        </w:tc>
        <w:tc>
          <w:tcPr>
            <w:tcW w:w="1311" w:type="dxa"/>
            <w:shd w:val="clear" w:color="auto" w:fill="7030A0"/>
          </w:tcPr>
          <w:p w14:paraId="17D8D5E5" w14:textId="77777777" w:rsidR="00E771A9" w:rsidRPr="002A7D65" w:rsidRDefault="00E771A9" w:rsidP="000C2595">
            <w:pPr>
              <w:ind w:firstLine="0"/>
              <w:rPr>
                <w:b/>
                <w:color w:val="FFFFFF" w:themeColor="background1"/>
                <w:sz w:val="22"/>
                <w:szCs w:val="22"/>
              </w:rPr>
            </w:pPr>
            <w:r w:rsidRPr="002A7D65">
              <w:rPr>
                <w:b/>
                <w:color w:val="FFFFFF" w:themeColor="background1"/>
                <w:sz w:val="22"/>
                <w:szCs w:val="22"/>
              </w:rPr>
              <w:t>2025. gads</w:t>
            </w:r>
          </w:p>
        </w:tc>
        <w:tc>
          <w:tcPr>
            <w:tcW w:w="1311" w:type="dxa"/>
            <w:shd w:val="clear" w:color="auto" w:fill="7030A0"/>
          </w:tcPr>
          <w:p w14:paraId="7492727A" w14:textId="77777777" w:rsidR="00E771A9" w:rsidRPr="002A7D65" w:rsidRDefault="00E771A9" w:rsidP="000C2595">
            <w:pPr>
              <w:ind w:firstLine="0"/>
              <w:jc w:val="center"/>
              <w:rPr>
                <w:b/>
                <w:color w:val="FFFFFF" w:themeColor="background1"/>
                <w:sz w:val="22"/>
                <w:szCs w:val="22"/>
              </w:rPr>
            </w:pPr>
            <w:r w:rsidRPr="002A7D65">
              <w:rPr>
                <w:b/>
                <w:color w:val="FFFFFF" w:themeColor="background1"/>
                <w:sz w:val="22"/>
                <w:szCs w:val="22"/>
              </w:rPr>
              <w:t>2026. gads</w:t>
            </w:r>
          </w:p>
        </w:tc>
        <w:tc>
          <w:tcPr>
            <w:tcW w:w="1312" w:type="dxa"/>
            <w:shd w:val="clear" w:color="auto" w:fill="7030A0"/>
          </w:tcPr>
          <w:p w14:paraId="313EACAE" w14:textId="77777777" w:rsidR="00E771A9" w:rsidRPr="002A7D65" w:rsidRDefault="00E771A9" w:rsidP="000C2595">
            <w:pPr>
              <w:ind w:firstLine="0"/>
              <w:jc w:val="center"/>
              <w:rPr>
                <w:b/>
                <w:bCs/>
                <w:color w:val="FFFFFF" w:themeColor="background1"/>
                <w:sz w:val="22"/>
                <w:szCs w:val="22"/>
              </w:rPr>
            </w:pPr>
            <w:r w:rsidRPr="002A7D65">
              <w:rPr>
                <w:b/>
                <w:bCs/>
                <w:color w:val="FFFFFF" w:themeColor="background1"/>
                <w:sz w:val="22"/>
                <w:szCs w:val="22"/>
              </w:rPr>
              <w:t>Turpmāk ik gadu</w:t>
            </w:r>
          </w:p>
        </w:tc>
      </w:tr>
      <w:tr w:rsidR="00451D63" w:rsidRPr="002A7D65" w14:paraId="0A124295" w14:textId="77777777" w:rsidTr="00F13215">
        <w:trPr>
          <w:trHeight w:val="1576"/>
        </w:trPr>
        <w:tc>
          <w:tcPr>
            <w:tcW w:w="2112" w:type="dxa"/>
            <w:tcBorders>
              <w:top w:val="single" w:sz="4" w:space="0" w:color="auto"/>
              <w:bottom w:val="single" w:sz="4" w:space="0" w:color="auto"/>
              <w:right w:val="single" w:sz="4" w:space="0" w:color="auto"/>
            </w:tcBorders>
            <w:shd w:val="clear" w:color="auto" w:fill="CCCCFF"/>
            <w:vAlign w:val="center"/>
          </w:tcPr>
          <w:p w14:paraId="0064427D" w14:textId="77777777" w:rsidR="00451D63" w:rsidRPr="002A7D65" w:rsidRDefault="00451D63" w:rsidP="00451D63">
            <w:pPr>
              <w:ind w:firstLine="0"/>
              <w:jc w:val="center"/>
              <w:rPr>
                <w:sz w:val="20"/>
                <w:szCs w:val="20"/>
              </w:rPr>
            </w:pPr>
            <w:r w:rsidRPr="002A7D65">
              <w:rPr>
                <w:sz w:val="20"/>
                <w:szCs w:val="20"/>
              </w:rPr>
              <w:t>A: Attīstība esošā finansējuma apmēros</w:t>
            </w:r>
          </w:p>
        </w:tc>
        <w:tc>
          <w:tcPr>
            <w:tcW w:w="1905" w:type="dxa"/>
            <w:tcBorders>
              <w:top w:val="single" w:sz="4" w:space="0" w:color="auto"/>
              <w:bottom w:val="single" w:sz="4" w:space="0" w:color="auto"/>
              <w:right w:val="single" w:sz="4" w:space="0" w:color="auto"/>
            </w:tcBorders>
            <w:shd w:val="clear" w:color="auto" w:fill="CCCCFF"/>
            <w:vAlign w:val="center"/>
          </w:tcPr>
          <w:p w14:paraId="2157624B" w14:textId="3A8906FE" w:rsidR="00451D63" w:rsidRPr="002A7D65" w:rsidRDefault="00451D63" w:rsidP="00451D63">
            <w:pPr>
              <w:ind w:firstLine="0"/>
              <w:jc w:val="center"/>
              <w:rPr>
                <w:b/>
                <w:bCs/>
                <w:color w:val="000000"/>
                <w:sz w:val="22"/>
                <w:szCs w:val="22"/>
              </w:rPr>
            </w:pPr>
            <w:r w:rsidRPr="002A7D65">
              <w:rPr>
                <w:b/>
                <w:bCs/>
                <w:color w:val="000000"/>
                <w:sz w:val="22"/>
                <w:szCs w:val="22"/>
              </w:rPr>
              <w:t>Kopā:</w:t>
            </w:r>
          </w:p>
        </w:tc>
        <w:tc>
          <w:tcPr>
            <w:tcW w:w="1400" w:type="dxa"/>
            <w:tcBorders>
              <w:top w:val="single" w:sz="4" w:space="0" w:color="auto"/>
              <w:left w:val="nil"/>
              <w:bottom w:val="single" w:sz="4" w:space="0" w:color="auto"/>
              <w:right w:val="single" w:sz="4" w:space="0" w:color="auto"/>
            </w:tcBorders>
            <w:shd w:val="clear" w:color="auto" w:fill="CCCCFF"/>
            <w:vAlign w:val="center"/>
          </w:tcPr>
          <w:p w14:paraId="3062A985" w14:textId="2255F8F8" w:rsidR="00451D63" w:rsidRPr="00F13215" w:rsidRDefault="00451D63" w:rsidP="00451D63">
            <w:pPr>
              <w:ind w:firstLine="0"/>
              <w:jc w:val="center"/>
              <w:rPr>
                <w:b/>
                <w:bCs/>
                <w:color w:val="000000"/>
                <w:sz w:val="22"/>
                <w:szCs w:val="22"/>
              </w:rPr>
            </w:pPr>
            <w:r w:rsidRPr="00451D63">
              <w:rPr>
                <w:b/>
                <w:bCs/>
                <w:color w:val="000000"/>
                <w:sz w:val="22"/>
                <w:szCs w:val="22"/>
              </w:rPr>
              <w:t>169 057 690</w:t>
            </w:r>
          </w:p>
        </w:tc>
        <w:tc>
          <w:tcPr>
            <w:tcW w:w="1400" w:type="dxa"/>
            <w:tcBorders>
              <w:top w:val="single" w:sz="4" w:space="0" w:color="auto"/>
              <w:left w:val="single" w:sz="4" w:space="0" w:color="auto"/>
              <w:bottom w:val="single" w:sz="4" w:space="0" w:color="auto"/>
              <w:right w:val="single" w:sz="4" w:space="0" w:color="auto"/>
            </w:tcBorders>
            <w:shd w:val="clear" w:color="auto" w:fill="CCCCFF"/>
            <w:vAlign w:val="center"/>
          </w:tcPr>
          <w:p w14:paraId="540E261C" w14:textId="5DCA387A" w:rsidR="00451D63" w:rsidRPr="00F13215" w:rsidRDefault="00451D63" w:rsidP="00451D63">
            <w:pPr>
              <w:ind w:firstLine="0"/>
              <w:jc w:val="center"/>
              <w:rPr>
                <w:b/>
                <w:bCs/>
                <w:color w:val="000000"/>
                <w:sz w:val="22"/>
                <w:szCs w:val="22"/>
              </w:rPr>
            </w:pPr>
            <w:r w:rsidRPr="00451D63">
              <w:rPr>
                <w:b/>
                <w:bCs/>
                <w:color w:val="000000"/>
                <w:sz w:val="22"/>
                <w:szCs w:val="22"/>
              </w:rPr>
              <w:t>175 175 240</w:t>
            </w:r>
          </w:p>
        </w:tc>
        <w:tc>
          <w:tcPr>
            <w:tcW w:w="1400" w:type="dxa"/>
            <w:tcBorders>
              <w:top w:val="single" w:sz="4" w:space="0" w:color="auto"/>
              <w:left w:val="single" w:sz="4" w:space="0" w:color="auto"/>
              <w:bottom w:val="single" w:sz="4" w:space="0" w:color="auto"/>
              <w:right w:val="nil"/>
            </w:tcBorders>
            <w:shd w:val="clear" w:color="auto" w:fill="CCCCFF"/>
            <w:vAlign w:val="center"/>
          </w:tcPr>
          <w:p w14:paraId="3DD8F55C" w14:textId="50159451" w:rsidR="00451D63" w:rsidRPr="00F13215" w:rsidRDefault="00451D63" w:rsidP="00451D63">
            <w:pPr>
              <w:ind w:firstLine="0"/>
              <w:jc w:val="center"/>
              <w:rPr>
                <w:b/>
                <w:bCs/>
                <w:color w:val="000000"/>
                <w:sz w:val="22"/>
                <w:szCs w:val="22"/>
              </w:rPr>
            </w:pPr>
            <w:r w:rsidRPr="00451D63">
              <w:rPr>
                <w:b/>
                <w:bCs/>
                <w:color w:val="000000"/>
                <w:sz w:val="22"/>
                <w:szCs w:val="22"/>
              </w:rPr>
              <w:t>174 939 037</w:t>
            </w:r>
          </w:p>
        </w:tc>
        <w:tc>
          <w:tcPr>
            <w:tcW w:w="1311" w:type="dxa"/>
            <w:tcBorders>
              <w:top w:val="single" w:sz="4" w:space="0" w:color="auto"/>
              <w:left w:val="single" w:sz="4" w:space="0" w:color="auto"/>
              <w:bottom w:val="single" w:sz="4" w:space="0" w:color="auto"/>
              <w:right w:val="single" w:sz="4" w:space="0" w:color="auto"/>
            </w:tcBorders>
            <w:shd w:val="clear" w:color="auto" w:fill="CCCCFF"/>
            <w:vAlign w:val="center"/>
          </w:tcPr>
          <w:p w14:paraId="4749A78F" w14:textId="77777777" w:rsidR="00451D63" w:rsidRPr="002A7D65" w:rsidRDefault="00451D63" w:rsidP="00451D63">
            <w:pPr>
              <w:ind w:firstLine="0"/>
              <w:jc w:val="center"/>
              <w:rPr>
                <w:b/>
                <w:bCs/>
                <w:color w:val="000000"/>
                <w:sz w:val="22"/>
                <w:szCs w:val="22"/>
              </w:rPr>
            </w:pPr>
            <w:r w:rsidRPr="002A7D65">
              <w:rPr>
                <w:b/>
                <w:bCs/>
                <w:color w:val="000000"/>
                <w:sz w:val="22"/>
                <w:szCs w:val="22"/>
              </w:rPr>
              <w:t>0</w:t>
            </w:r>
          </w:p>
        </w:tc>
        <w:tc>
          <w:tcPr>
            <w:tcW w:w="1311" w:type="dxa"/>
            <w:tcBorders>
              <w:top w:val="single" w:sz="4" w:space="0" w:color="auto"/>
              <w:left w:val="single" w:sz="4" w:space="0" w:color="auto"/>
              <w:bottom w:val="single" w:sz="4" w:space="0" w:color="auto"/>
              <w:right w:val="single" w:sz="4" w:space="0" w:color="auto"/>
            </w:tcBorders>
            <w:shd w:val="clear" w:color="auto" w:fill="CCCCFF"/>
            <w:vAlign w:val="center"/>
          </w:tcPr>
          <w:p w14:paraId="6FADEA52" w14:textId="77777777" w:rsidR="00451D63" w:rsidRPr="002A7D65" w:rsidRDefault="00451D63" w:rsidP="00451D63">
            <w:pPr>
              <w:ind w:firstLine="0"/>
              <w:jc w:val="center"/>
              <w:rPr>
                <w:b/>
                <w:bCs/>
                <w:color w:val="000000"/>
                <w:sz w:val="22"/>
                <w:szCs w:val="22"/>
              </w:rPr>
            </w:pPr>
            <w:r w:rsidRPr="002A7D65">
              <w:rPr>
                <w:b/>
                <w:bCs/>
                <w:color w:val="000000"/>
                <w:sz w:val="22"/>
                <w:szCs w:val="22"/>
              </w:rPr>
              <w:t>0</w:t>
            </w:r>
          </w:p>
        </w:tc>
        <w:tc>
          <w:tcPr>
            <w:tcW w:w="1311" w:type="dxa"/>
            <w:tcBorders>
              <w:top w:val="single" w:sz="4" w:space="0" w:color="auto"/>
              <w:left w:val="single" w:sz="4" w:space="0" w:color="auto"/>
              <w:bottom w:val="single" w:sz="4" w:space="0" w:color="auto"/>
              <w:right w:val="single" w:sz="4" w:space="0" w:color="auto"/>
            </w:tcBorders>
            <w:shd w:val="clear" w:color="auto" w:fill="CCCCFF"/>
            <w:vAlign w:val="center"/>
          </w:tcPr>
          <w:p w14:paraId="7E032FAA" w14:textId="77777777" w:rsidR="00451D63" w:rsidRPr="002A7D65" w:rsidRDefault="00451D63" w:rsidP="00451D63">
            <w:pPr>
              <w:ind w:firstLine="0"/>
              <w:jc w:val="center"/>
              <w:rPr>
                <w:b/>
                <w:bCs/>
                <w:color w:val="000000"/>
                <w:sz w:val="22"/>
                <w:szCs w:val="22"/>
              </w:rPr>
            </w:pPr>
            <w:r w:rsidRPr="002A7D65">
              <w:rPr>
                <w:b/>
                <w:bCs/>
                <w:color w:val="000000"/>
                <w:sz w:val="22"/>
                <w:szCs w:val="22"/>
              </w:rPr>
              <w:t>0</w:t>
            </w:r>
          </w:p>
        </w:tc>
        <w:tc>
          <w:tcPr>
            <w:tcW w:w="1312" w:type="dxa"/>
            <w:tcBorders>
              <w:top w:val="single" w:sz="4" w:space="0" w:color="auto"/>
              <w:left w:val="single" w:sz="4" w:space="0" w:color="auto"/>
              <w:bottom w:val="single" w:sz="4" w:space="0" w:color="auto"/>
              <w:right w:val="single" w:sz="4" w:space="0" w:color="auto"/>
            </w:tcBorders>
            <w:shd w:val="clear" w:color="auto" w:fill="CCCCFF"/>
            <w:vAlign w:val="center"/>
          </w:tcPr>
          <w:p w14:paraId="5B4891E7" w14:textId="77777777" w:rsidR="00451D63" w:rsidRPr="002A7D65" w:rsidRDefault="00451D63" w:rsidP="00451D63">
            <w:pPr>
              <w:ind w:firstLine="0"/>
              <w:jc w:val="center"/>
              <w:rPr>
                <w:b/>
                <w:bCs/>
                <w:color w:val="000000"/>
                <w:sz w:val="22"/>
                <w:szCs w:val="22"/>
              </w:rPr>
            </w:pPr>
            <w:r w:rsidRPr="002A7D65">
              <w:rPr>
                <w:b/>
                <w:bCs/>
                <w:color w:val="000000"/>
                <w:sz w:val="22"/>
                <w:szCs w:val="22"/>
              </w:rPr>
              <w:t>0</w:t>
            </w:r>
          </w:p>
        </w:tc>
      </w:tr>
      <w:tr w:rsidR="00E429B0" w:rsidRPr="002A7D65" w14:paraId="6FD40117" w14:textId="77777777" w:rsidTr="00FC6EB1">
        <w:trPr>
          <w:trHeight w:val="262"/>
        </w:trPr>
        <w:tc>
          <w:tcPr>
            <w:tcW w:w="2112" w:type="dxa"/>
            <w:tcBorders>
              <w:top w:val="single" w:sz="4" w:space="0" w:color="auto"/>
              <w:bottom w:val="single" w:sz="4" w:space="0" w:color="auto"/>
              <w:right w:val="single" w:sz="4" w:space="0" w:color="auto"/>
            </w:tcBorders>
            <w:vAlign w:val="center"/>
          </w:tcPr>
          <w:p w14:paraId="799104AC" w14:textId="77777777" w:rsidR="00E429B0" w:rsidRPr="002A7D65" w:rsidRDefault="00E429B0" w:rsidP="00E429B0">
            <w:pPr>
              <w:ind w:firstLine="0"/>
              <w:jc w:val="center"/>
              <w:rPr>
                <w:sz w:val="20"/>
                <w:szCs w:val="20"/>
              </w:rPr>
            </w:pPr>
          </w:p>
        </w:tc>
        <w:tc>
          <w:tcPr>
            <w:tcW w:w="1905" w:type="dxa"/>
            <w:tcBorders>
              <w:top w:val="single" w:sz="4" w:space="0" w:color="auto"/>
              <w:bottom w:val="single" w:sz="4" w:space="0" w:color="auto"/>
              <w:right w:val="single" w:sz="4" w:space="0" w:color="auto"/>
            </w:tcBorders>
            <w:shd w:val="clear" w:color="auto" w:fill="auto"/>
          </w:tcPr>
          <w:p w14:paraId="4B6D43AD" w14:textId="77777777" w:rsidR="00E429B0" w:rsidRPr="002A7D65" w:rsidRDefault="00E429B0" w:rsidP="00E429B0">
            <w:pPr>
              <w:ind w:firstLine="0"/>
              <w:jc w:val="center"/>
              <w:rPr>
                <w:b/>
                <w:bCs/>
                <w:color w:val="000000"/>
                <w:sz w:val="20"/>
                <w:szCs w:val="20"/>
              </w:rPr>
            </w:pPr>
            <w:r w:rsidRPr="002A7D65">
              <w:rPr>
                <w:b/>
                <w:bCs/>
                <w:color w:val="000000"/>
                <w:sz w:val="20"/>
                <w:szCs w:val="20"/>
              </w:rPr>
              <w:t>Izglītības un zinātnes ministrija</w:t>
            </w:r>
          </w:p>
          <w:p w14:paraId="39CA342A" w14:textId="77777777" w:rsidR="00E429B0" w:rsidRPr="002A7D65" w:rsidRDefault="00E429B0" w:rsidP="00E429B0">
            <w:pPr>
              <w:ind w:firstLine="0"/>
              <w:jc w:val="center"/>
              <w:rPr>
                <w:sz w:val="20"/>
                <w:szCs w:val="20"/>
              </w:rPr>
            </w:pPr>
            <w:r w:rsidRPr="002A7D65">
              <w:rPr>
                <w:color w:val="000000"/>
                <w:sz w:val="20"/>
                <w:szCs w:val="20"/>
              </w:rPr>
              <w:t>03.01.00 Augstākās izglītības programmu nodrošināšana</w:t>
            </w:r>
          </w:p>
        </w:tc>
        <w:tc>
          <w:tcPr>
            <w:tcW w:w="1400" w:type="dxa"/>
            <w:tcBorders>
              <w:top w:val="single" w:sz="4" w:space="0" w:color="auto"/>
              <w:left w:val="nil"/>
              <w:bottom w:val="single" w:sz="4" w:space="0" w:color="auto"/>
              <w:right w:val="single" w:sz="4" w:space="0" w:color="auto"/>
            </w:tcBorders>
            <w:shd w:val="clear" w:color="auto" w:fill="auto"/>
            <w:vAlign w:val="center"/>
          </w:tcPr>
          <w:p w14:paraId="1D4013D0" w14:textId="0932E07D" w:rsidR="00E429B0" w:rsidRPr="001849B0" w:rsidRDefault="00E429B0" w:rsidP="00E429B0">
            <w:pPr>
              <w:ind w:firstLine="0"/>
              <w:jc w:val="center"/>
              <w:rPr>
                <w:color w:val="000000"/>
                <w:sz w:val="22"/>
                <w:szCs w:val="22"/>
              </w:rPr>
            </w:pPr>
            <w:r w:rsidRPr="001849B0">
              <w:rPr>
                <w:color w:val="000000"/>
                <w:sz w:val="22"/>
                <w:szCs w:val="22"/>
              </w:rPr>
              <w:t>96 609 454</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14:paraId="3E44E343" w14:textId="091D022F" w:rsidR="00E429B0" w:rsidRPr="001849B0" w:rsidRDefault="00E429B0" w:rsidP="00E429B0">
            <w:pPr>
              <w:ind w:firstLine="0"/>
              <w:jc w:val="center"/>
              <w:rPr>
                <w:color w:val="000000"/>
                <w:sz w:val="22"/>
                <w:szCs w:val="22"/>
              </w:rPr>
            </w:pPr>
            <w:r w:rsidRPr="001849B0">
              <w:rPr>
                <w:color w:val="000000"/>
                <w:sz w:val="22"/>
                <w:szCs w:val="22"/>
              </w:rPr>
              <w:t>96 759 003</w:t>
            </w:r>
          </w:p>
        </w:tc>
        <w:tc>
          <w:tcPr>
            <w:tcW w:w="1400" w:type="dxa"/>
            <w:tcBorders>
              <w:top w:val="single" w:sz="4" w:space="0" w:color="auto"/>
              <w:left w:val="single" w:sz="4" w:space="0" w:color="auto"/>
              <w:bottom w:val="single" w:sz="4" w:space="0" w:color="auto"/>
              <w:right w:val="nil"/>
            </w:tcBorders>
            <w:shd w:val="clear" w:color="auto" w:fill="auto"/>
            <w:vAlign w:val="center"/>
          </w:tcPr>
          <w:p w14:paraId="73CF4CDD" w14:textId="6E249D84" w:rsidR="00E429B0" w:rsidRPr="001849B0" w:rsidRDefault="00E429B0" w:rsidP="00E429B0">
            <w:pPr>
              <w:ind w:firstLine="0"/>
              <w:jc w:val="center"/>
              <w:rPr>
                <w:color w:val="000000"/>
                <w:sz w:val="22"/>
                <w:szCs w:val="22"/>
              </w:rPr>
            </w:pPr>
            <w:r w:rsidRPr="001849B0">
              <w:rPr>
                <w:color w:val="000000"/>
                <w:sz w:val="22"/>
                <w:szCs w:val="22"/>
              </w:rPr>
              <w:t>96 522 799</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72C4BE15" w14:textId="77777777" w:rsidR="00E429B0" w:rsidRPr="001849B0" w:rsidRDefault="00E429B0" w:rsidP="00E429B0">
            <w:pPr>
              <w:ind w:firstLine="0"/>
              <w:jc w:val="center"/>
              <w:rPr>
                <w:color w:val="000000"/>
                <w:sz w:val="22"/>
                <w:szCs w:val="22"/>
              </w:rPr>
            </w:pPr>
            <w:r w:rsidRPr="001849B0">
              <w:rPr>
                <w:color w:val="000000"/>
                <w:sz w:val="22"/>
                <w:szCs w:val="22"/>
              </w:rPr>
              <w:t>0</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00BD18F4" w14:textId="77777777" w:rsidR="00E429B0" w:rsidRPr="001849B0" w:rsidRDefault="00E429B0" w:rsidP="00E429B0">
            <w:pPr>
              <w:ind w:firstLine="0"/>
              <w:jc w:val="center"/>
              <w:rPr>
                <w:color w:val="000000"/>
                <w:sz w:val="22"/>
                <w:szCs w:val="22"/>
              </w:rPr>
            </w:pPr>
            <w:r w:rsidRPr="001849B0">
              <w:rPr>
                <w:color w:val="000000"/>
                <w:sz w:val="22"/>
                <w:szCs w:val="22"/>
              </w:rPr>
              <w:t>0</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7172FCB7" w14:textId="77777777" w:rsidR="00E429B0" w:rsidRPr="001849B0" w:rsidRDefault="00E429B0" w:rsidP="00E429B0">
            <w:pPr>
              <w:ind w:firstLine="0"/>
              <w:jc w:val="center"/>
              <w:rPr>
                <w:color w:val="000000"/>
                <w:sz w:val="22"/>
                <w:szCs w:val="22"/>
              </w:rPr>
            </w:pPr>
            <w:r w:rsidRPr="001849B0">
              <w:rPr>
                <w:color w:val="000000"/>
                <w:sz w:val="22"/>
                <w:szCs w:val="22"/>
              </w:rPr>
              <w:t>0</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6355DB89" w14:textId="77777777" w:rsidR="00E429B0" w:rsidRPr="001849B0" w:rsidRDefault="00E429B0" w:rsidP="00E429B0">
            <w:pPr>
              <w:ind w:firstLine="0"/>
              <w:jc w:val="center"/>
              <w:rPr>
                <w:color w:val="000000"/>
                <w:sz w:val="22"/>
                <w:szCs w:val="22"/>
              </w:rPr>
            </w:pPr>
            <w:r w:rsidRPr="001849B0">
              <w:rPr>
                <w:color w:val="000000"/>
                <w:sz w:val="22"/>
                <w:szCs w:val="22"/>
              </w:rPr>
              <w:t>0</w:t>
            </w:r>
          </w:p>
        </w:tc>
      </w:tr>
      <w:tr w:rsidR="00E771A9" w:rsidRPr="002A7D65" w14:paraId="4C4719DD" w14:textId="77777777" w:rsidTr="000C2595">
        <w:trPr>
          <w:trHeight w:val="262"/>
        </w:trPr>
        <w:tc>
          <w:tcPr>
            <w:tcW w:w="2112" w:type="dxa"/>
            <w:tcBorders>
              <w:top w:val="single" w:sz="4" w:space="0" w:color="auto"/>
              <w:bottom w:val="single" w:sz="4" w:space="0" w:color="auto"/>
              <w:right w:val="single" w:sz="4" w:space="0" w:color="auto"/>
            </w:tcBorders>
            <w:vAlign w:val="center"/>
          </w:tcPr>
          <w:p w14:paraId="333AC5E5" w14:textId="77777777" w:rsidR="00E771A9" w:rsidRPr="002A7D65" w:rsidRDefault="00E771A9" w:rsidP="000C2595">
            <w:pPr>
              <w:ind w:firstLine="0"/>
              <w:jc w:val="center"/>
              <w:rPr>
                <w:sz w:val="20"/>
                <w:szCs w:val="20"/>
              </w:rPr>
            </w:pPr>
          </w:p>
        </w:tc>
        <w:tc>
          <w:tcPr>
            <w:tcW w:w="1905" w:type="dxa"/>
            <w:tcBorders>
              <w:top w:val="single" w:sz="4" w:space="0" w:color="auto"/>
              <w:bottom w:val="single" w:sz="4" w:space="0" w:color="auto"/>
              <w:right w:val="single" w:sz="4" w:space="0" w:color="auto"/>
            </w:tcBorders>
            <w:vAlign w:val="center"/>
          </w:tcPr>
          <w:p w14:paraId="70C6A374" w14:textId="77777777" w:rsidR="00E771A9" w:rsidRPr="002A7D65" w:rsidRDefault="00E771A9" w:rsidP="000C2595">
            <w:pPr>
              <w:ind w:firstLine="0"/>
              <w:jc w:val="center"/>
              <w:rPr>
                <w:b/>
                <w:bCs/>
                <w:sz w:val="20"/>
                <w:szCs w:val="20"/>
              </w:rPr>
            </w:pPr>
            <w:r w:rsidRPr="002A7D65">
              <w:rPr>
                <w:b/>
                <w:bCs/>
                <w:sz w:val="20"/>
                <w:szCs w:val="20"/>
              </w:rPr>
              <w:t>Izglītības un zinātnes ministrija</w:t>
            </w:r>
          </w:p>
          <w:p w14:paraId="0F797B00" w14:textId="77777777" w:rsidR="00E771A9" w:rsidRPr="002A7D65" w:rsidRDefault="00E771A9" w:rsidP="000C2595">
            <w:pPr>
              <w:ind w:firstLine="0"/>
              <w:jc w:val="center"/>
              <w:rPr>
                <w:sz w:val="20"/>
                <w:szCs w:val="20"/>
              </w:rPr>
            </w:pPr>
            <w:r w:rsidRPr="002A7D65">
              <w:rPr>
                <w:sz w:val="20"/>
                <w:szCs w:val="20"/>
              </w:rPr>
              <w:t>03.03.00 Zinātniskās darbības attīstība augstskolās un koledžās</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14:paraId="42706B2B" w14:textId="77777777" w:rsidR="00E771A9" w:rsidRPr="001849B0" w:rsidRDefault="00E771A9" w:rsidP="000C2595">
            <w:pPr>
              <w:ind w:firstLine="0"/>
              <w:jc w:val="center"/>
              <w:rPr>
                <w:color w:val="000000"/>
                <w:sz w:val="22"/>
                <w:szCs w:val="22"/>
              </w:rPr>
            </w:pPr>
            <w:r w:rsidRPr="001849B0">
              <w:rPr>
                <w:color w:val="000000"/>
                <w:sz w:val="22"/>
                <w:szCs w:val="22"/>
              </w:rPr>
              <w:t>13 225 828</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14:paraId="6DCC24FD" w14:textId="77777777" w:rsidR="00E771A9" w:rsidRPr="001849B0" w:rsidRDefault="00E771A9" w:rsidP="000C2595">
            <w:pPr>
              <w:ind w:firstLine="0"/>
              <w:jc w:val="center"/>
              <w:rPr>
                <w:color w:val="000000"/>
                <w:sz w:val="22"/>
                <w:szCs w:val="22"/>
              </w:rPr>
            </w:pPr>
            <w:r w:rsidRPr="001849B0">
              <w:rPr>
                <w:color w:val="000000"/>
                <w:sz w:val="22"/>
                <w:szCs w:val="22"/>
              </w:rPr>
              <w:t>13 225 828</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14:paraId="4BB3EBFB" w14:textId="77777777" w:rsidR="00E771A9" w:rsidRPr="001849B0" w:rsidRDefault="00E771A9" w:rsidP="000C2595">
            <w:pPr>
              <w:ind w:firstLine="0"/>
              <w:jc w:val="center"/>
              <w:rPr>
                <w:color w:val="000000"/>
                <w:sz w:val="22"/>
                <w:szCs w:val="22"/>
              </w:rPr>
            </w:pPr>
            <w:r w:rsidRPr="001849B0">
              <w:rPr>
                <w:color w:val="000000"/>
                <w:sz w:val="22"/>
                <w:szCs w:val="22"/>
              </w:rPr>
              <w:t>13 225 828</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5070CF94" w14:textId="77777777" w:rsidR="00E771A9" w:rsidRPr="001849B0" w:rsidRDefault="00E771A9" w:rsidP="000C2595">
            <w:pPr>
              <w:ind w:firstLine="0"/>
              <w:jc w:val="center"/>
              <w:rPr>
                <w:color w:val="000000"/>
                <w:sz w:val="22"/>
                <w:szCs w:val="22"/>
              </w:rPr>
            </w:pPr>
            <w:r w:rsidRPr="001849B0">
              <w:rPr>
                <w:color w:val="000000"/>
                <w:sz w:val="22"/>
                <w:szCs w:val="22"/>
              </w:rPr>
              <w:t>0</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12D840FA" w14:textId="77777777" w:rsidR="00E771A9" w:rsidRPr="001849B0" w:rsidRDefault="00E771A9" w:rsidP="000C2595">
            <w:pPr>
              <w:ind w:firstLine="0"/>
              <w:jc w:val="center"/>
              <w:rPr>
                <w:color w:val="000000"/>
                <w:sz w:val="22"/>
                <w:szCs w:val="22"/>
              </w:rPr>
            </w:pPr>
            <w:r w:rsidRPr="001849B0">
              <w:rPr>
                <w:color w:val="000000"/>
                <w:sz w:val="22"/>
                <w:szCs w:val="22"/>
              </w:rPr>
              <w:t>0</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0D4172FE" w14:textId="77777777" w:rsidR="00E771A9" w:rsidRPr="001849B0" w:rsidRDefault="00E771A9" w:rsidP="000C2595">
            <w:pPr>
              <w:ind w:firstLine="0"/>
              <w:jc w:val="center"/>
              <w:rPr>
                <w:color w:val="000000"/>
                <w:sz w:val="22"/>
                <w:szCs w:val="22"/>
              </w:rPr>
            </w:pPr>
            <w:r w:rsidRPr="001849B0">
              <w:rPr>
                <w:color w:val="000000"/>
                <w:sz w:val="22"/>
                <w:szCs w:val="22"/>
              </w:rPr>
              <w:t>0</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22E52848" w14:textId="77777777" w:rsidR="00E771A9" w:rsidRPr="001849B0" w:rsidRDefault="00E771A9" w:rsidP="000C2595">
            <w:pPr>
              <w:ind w:firstLine="0"/>
              <w:jc w:val="center"/>
              <w:rPr>
                <w:color w:val="000000"/>
                <w:sz w:val="22"/>
                <w:szCs w:val="22"/>
              </w:rPr>
            </w:pPr>
            <w:r w:rsidRPr="001849B0">
              <w:rPr>
                <w:color w:val="000000"/>
                <w:sz w:val="22"/>
                <w:szCs w:val="22"/>
              </w:rPr>
              <w:t>0</w:t>
            </w:r>
          </w:p>
        </w:tc>
      </w:tr>
      <w:tr w:rsidR="00CB1FD5" w:rsidRPr="002A7D65" w14:paraId="26507894" w14:textId="77777777" w:rsidTr="00A8290B">
        <w:trPr>
          <w:trHeight w:val="262"/>
        </w:trPr>
        <w:tc>
          <w:tcPr>
            <w:tcW w:w="2112" w:type="dxa"/>
            <w:tcBorders>
              <w:top w:val="single" w:sz="4" w:space="0" w:color="auto"/>
              <w:bottom w:val="single" w:sz="4" w:space="0" w:color="auto"/>
              <w:right w:val="single" w:sz="4" w:space="0" w:color="auto"/>
            </w:tcBorders>
            <w:vAlign w:val="center"/>
          </w:tcPr>
          <w:p w14:paraId="5EB8069B" w14:textId="77777777" w:rsidR="00CB1FD5" w:rsidRPr="002A7D65" w:rsidRDefault="00CB1FD5" w:rsidP="00CB1FD5">
            <w:pPr>
              <w:ind w:firstLine="0"/>
              <w:jc w:val="center"/>
              <w:rPr>
                <w:sz w:val="20"/>
                <w:szCs w:val="20"/>
              </w:rPr>
            </w:pPr>
          </w:p>
        </w:tc>
        <w:tc>
          <w:tcPr>
            <w:tcW w:w="1905" w:type="dxa"/>
            <w:tcBorders>
              <w:top w:val="single" w:sz="4" w:space="0" w:color="auto"/>
              <w:bottom w:val="single" w:sz="4" w:space="0" w:color="auto"/>
              <w:right w:val="single" w:sz="4" w:space="0" w:color="auto"/>
            </w:tcBorders>
            <w:vAlign w:val="center"/>
          </w:tcPr>
          <w:p w14:paraId="54E2418C" w14:textId="77777777" w:rsidR="00CB1FD5" w:rsidRPr="002A7D65" w:rsidRDefault="00CB1FD5" w:rsidP="00CB1FD5">
            <w:pPr>
              <w:ind w:firstLine="0"/>
              <w:jc w:val="center"/>
              <w:rPr>
                <w:b/>
                <w:bCs/>
                <w:sz w:val="20"/>
                <w:szCs w:val="20"/>
              </w:rPr>
            </w:pPr>
            <w:r w:rsidRPr="002A7D65">
              <w:rPr>
                <w:b/>
                <w:bCs/>
                <w:sz w:val="20"/>
                <w:szCs w:val="20"/>
              </w:rPr>
              <w:t>Veselības ministrija</w:t>
            </w:r>
          </w:p>
          <w:p w14:paraId="06F97E84" w14:textId="77777777" w:rsidR="00CB1FD5" w:rsidRPr="002A7D65" w:rsidRDefault="00CB1FD5" w:rsidP="00CB1FD5">
            <w:pPr>
              <w:ind w:firstLine="0"/>
              <w:jc w:val="center"/>
              <w:rPr>
                <w:b/>
                <w:bCs/>
                <w:sz w:val="20"/>
                <w:szCs w:val="20"/>
              </w:rPr>
            </w:pPr>
            <w:r w:rsidRPr="002A7D65">
              <w:rPr>
                <w:color w:val="000000"/>
                <w:sz w:val="20"/>
                <w:szCs w:val="20"/>
              </w:rPr>
              <w:t>02.03.00 Augstākā medicīnas izglītība</w:t>
            </w: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2C773B96" w14:textId="7EF99C5C" w:rsidR="00CB1FD5" w:rsidRPr="001849B0" w:rsidRDefault="00CB1FD5" w:rsidP="00CB1FD5">
            <w:pPr>
              <w:ind w:firstLine="0"/>
              <w:jc w:val="center"/>
              <w:rPr>
                <w:color w:val="000000"/>
                <w:sz w:val="22"/>
                <w:szCs w:val="22"/>
              </w:rPr>
            </w:pPr>
            <w:r w:rsidRPr="001849B0">
              <w:rPr>
                <w:color w:val="000000"/>
                <w:sz w:val="22"/>
                <w:szCs w:val="22"/>
              </w:rPr>
              <w:t>21 641 083</w:t>
            </w: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7535B4B8" w14:textId="49288C1D" w:rsidR="00CB1FD5" w:rsidRPr="001849B0" w:rsidRDefault="00CB1FD5" w:rsidP="00CB1FD5">
            <w:pPr>
              <w:ind w:firstLine="0"/>
              <w:jc w:val="center"/>
              <w:rPr>
                <w:color w:val="000000"/>
                <w:sz w:val="22"/>
                <w:szCs w:val="22"/>
              </w:rPr>
            </w:pPr>
            <w:r w:rsidRPr="001849B0">
              <w:rPr>
                <w:color w:val="000000"/>
                <w:sz w:val="22"/>
                <w:szCs w:val="22"/>
              </w:rPr>
              <w:t>21 641 084</w:t>
            </w: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2862DEC5" w14:textId="5359DAA4" w:rsidR="00CB1FD5" w:rsidRPr="001849B0" w:rsidRDefault="00CB1FD5" w:rsidP="00CB1FD5">
            <w:pPr>
              <w:ind w:firstLine="0"/>
              <w:jc w:val="center"/>
              <w:rPr>
                <w:color w:val="000000"/>
                <w:sz w:val="22"/>
                <w:szCs w:val="22"/>
              </w:rPr>
            </w:pPr>
            <w:r w:rsidRPr="001849B0">
              <w:rPr>
                <w:color w:val="000000"/>
                <w:sz w:val="22"/>
                <w:szCs w:val="22"/>
              </w:rPr>
              <w:t>21 641 085</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74090301" w14:textId="77777777" w:rsidR="00CB1FD5" w:rsidRPr="001849B0" w:rsidRDefault="00CB1FD5" w:rsidP="00CB1FD5">
            <w:pPr>
              <w:ind w:firstLine="0"/>
              <w:jc w:val="center"/>
              <w:rPr>
                <w:color w:val="000000"/>
                <w:sz w:val="22"/>
                <w:szCs w:val="22"/>
              </w:rPr>
            </w:pPr>
            <w:r w:rsidRPr="001849B0">
              <w:rPr>
                <w:color w:val="000000"/>
                <w:sz w:val="22"/>
                <w:szCs w:val="22"/>
              </w:rPr>
              <w:t>0</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18C53C98" w14:textId="77777777" w:rsidR="00CB1FD5" w:rsidRPr="001849B0" w:rsidRDefault="00CB1FD5" w:rsidP="00CB1FD5">
            <w:pPr>
              <w:ind w:firstLine="0"/>
              <w:jc w:val="center"/>
              <w:rPr>
                <w:color w:val="000000"/>
                <w:sz w:val="22"/>
                <w:szCs w:val="22"/>
              </w:rPr>
            </w:pPr>
            <w:r w:rsidRPr="001849B0">
              <w:rPr>
                <w:color w:val="000000"/>
                <w:sz w:val="22"/>
                <w:szCs w:val="22"/>
              </w:rPr>
              <w:t>0</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61B2572D" w14:textId="77777777" w:rsidR="00CB1FD5" w:rsidRPr="001849B0" w:rsidRDefault="00CB1FD5" w:rsidP="00CB1FD5">
            <w:pPr>
              <w:ind w:firstLine="0"/>
              <w:jc w:val="center"/>
              <w:rPr>
                <w:color w:val="000000"/>
                <w:sz w:val="22"/>
                <w:szCs w:val="22"/>
              </w:rPr>
            </w:pPr>
            <w:r w:rsidRPr="001849B0">
              <w:rPr>
                <w:color w:val="000000"/>
                <w:sz w:val="22"/>
                <w:szCs w:val="22"/>
              </w:rPr>
              <w:t>0</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11C74FE3" w14:textId="77777777" w:rsidR="00CB1FD5" w:rsidRPr="001849B0" w:rsidRDefault="00CB1FD5" w:rsidP="00CB1FD5">
            <w:pPr>
              <w:ind w:firstLine="0"/>
              <w:jc w:val="center"/>
              <w:rPr>
                <w:color w:val="000000"/>
                <w:sz w:val="22"/>
                <w:szCs w:val="22"/>
              </w:rPr>
            </w:pPr>
            <w:r w:rsidRPr="001849B0">
              <w:rPr>
                <w:color w:val="000000"/>
                <w:sz w:val="22"/>
                <w:szCs w:val="22"/>
              </w:rPr>
              <w:t>0</w:t>
            </w:r>
          </w:p>
        </w:tc>
      </w:tr>
      <w:tr w:rsidR="002150F3" w:rsidRPr="002A7D65" w14:paraId="79CF50B8" w14:textId="77777777" w:rsidTr="000C2595">
        <w:trPr>
          <w:trHeight w:val="262"/>
        </w:trPr>
        <w:tc>
          <w:tcPr>
            <w:tcW w:w="2112" w:type="dxa"/>
            <w:tcBorders>
              <w:top w:val="single" w:sz="4" w:space="0" w:color="auto"/>
              <w:bottom w:val="single" w:sz="4" w:space="0" w:color="auto"/>
              <w:right w:val="single" w:sz="4" w:space="0" w:color="auto"/>
            </w:tcBorders>
            <w:vAlign w:val="center"/>
          </w:tcPr>
          <w:p w14:paraId="782E99AF" w14:textId="77777777" w:rsidR="002150F3" w:rsidRPr="002A7D65" w:rsidRDefault="002150F3" w:rsidP="002150F3">
            <w:pPr>
              <w:ind w:firstLine="0"/>
              <w:jc w:val="center"/>
              <w:rPr>
                <w:sz w:val="20"/>
                <w:szCs w:val="20"/>
              </w:rPr>
            </w:pPr>
          </w:p>
        </w:tc>
        <w:tc>
          <w:tcPr>
            <w:tcW w:w="1905" w:type="dxa"/>
            <w:tcBorders>
              <w:top w:val="single" w:sz="4" w:space="0" w:color="auto"/>
              <w:bottom w:val="single" w:sz="4" w:space="0" w:color="auto"/>
              <w:right w:val="single" w:sz="4" w:space="0" w:color="auto"/>
            </w:tcBorders>
            <w:vAlign w:val="center"/>
          </w:tcPr>
          <w:p w14:paraId="2ECAB933" w14:textId="77777777" w:rsidR="002150F3" w:rsidRPr="002A7D65" w:rsidRDefault="002150F3" w:rsidP="002150F3">
            <w:pPr>
              <w:ind w:firstLine="0"/>
              <w:jc w:val="center"/>
              <w:rPr>
                <w:b/>
                <w:bCs/>
                <w:sz w:val="20"/>
                <w:szCs w:val="20"/>
              </w:rPr>
            </w:pPr>
            <w:r w:rsidRPr="002A7D65">
              <w:rPr>
                <w:b/>
                <w:bCs/>
                <w:sz w:val="20"/>
                <w:szCs w:val="20"/>
              </w:rPr>
              <w:t>Zemkopības ministrija</w:t>
            </w:r>
          </w:p>
          <w:p w14:paraId="322F9F49" w14:textId="77777777" w:rsidR="002150F3" w:rsidRPr="002A7D65" w:rsidRDefault="002150F3" w:rsidP="002150F3">
            <w:pPr>
              <w:ind w:firstLine="0"/>
              <w:jc w:val="center"/>
              <w:rPr>
                <w:sz w:val="20"/>
                <w:szCs w:val="20"/>
              </w:rPr>
            </w:pPr>
            <w:r w:rsidRPr="002A7D65">
              <w:rPr>
                <w:sz w:val="20"/>
                <w:szCs w:val="20"/>
              </w:rPr>
              <w:t>22.02.00 Augstākā izglītība</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14:paraId="67FE917A" w14:textId="3EE445D0" w:rsidR="002150F3" w:rsidRPr="001849B0" w:rsidRDefault="002150F3" w:rsidP="002150F3">
            <w:pPr>
              <w:ind w:firstLine="0"/>
              <w:jc w:val="center"/>
              <w:rPr>
                <w:color w:val="000000"/>
                <w:sz w:val="22"/>
                <w:szCs w:val="22"/>
              </w:rPr>
            </w:pPr>
            <w:r w:rsidRPr="001849B0">
              <w:rPr>
                <w:color w:val="000000"/>
                <w:sz w:val="22"/>
                <w:szCs w:val="22"/>
              </w:rPr>
              <w:t>11 494 158</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14:paraId="2C1FECFB" w14:textId="67FD2854" w:rsidR="002150F3" w:rsidRPr="001849B0" w:rsidRDefault="002150F3" w:rsidP="002150F3">
            <w:pPr>
              <w:ind w:firstLine="0"/>
              <w:jc w:val="center"/>
              <w:rPr>
                <w:color w:val="000000"/>
                <w:sz w:val="22"/>
                <w:szCs w:val="22"/>
              </w:rPr>
            </w:pPr>
            <w:r w:rsidRPr="001849B0">
              <w:rPr>
                <w:color w:val="000000"/>
                <w:sz w:val="22"/>
                <w:szCs w:val="22"/>
              </w:rPr>
              <w:t>10 762 158</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14:paraId="5FD33618" w14:textId="1EBD474D" w:rsidR="002150F3" w:rsidRPr="001849B0" w:rsidRDefault="002150F3" w:rsidP="002150F3">
            <w:pPr>
              <w:ind w:firstLine="0"/>
              <w:jc w:val="center"/>
              <w:rPr>
                <w:color w:val="000000"/>
                <w:sz w:val="22"/>
                <w:szCs w:val="22"/>
              </w:rPr>
            </w:pPr>
            <w:r w:rsidRPr="001849B0">
              <w:rPr>
                <w:color w:val="000000"/>
                <w:sz w:val="22"/>
                <w:szCs w:val="22"/>
              </w:rPr>
              <w:t>10 762 158</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44CF198D" w14:textId="77777777" w:rsidR="002150F3" w:rsidRPr="001849B0" w:rsidRDefault="002150F3" w:rsidP="002150F3">
            <w:pPr>
              <w:ind w:firstLine="0"/>
              <w:jc w:val="center"/>
              <w:rPr>
                <w:color w:val="000000"/>
                <w:sz w:val="22"/>
                <w:szCs w:val="22"/>
              </w:rPr>
            </w:pPr>
            <w:r w:rsidRPr="001849B0">
              <w:rPr>
                <w:color w:val="000000"/>
                <w:sz w:val="22"/>
                <w:szCs w:val="22"/>
              </w:rPr>
              <w:t>0</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5814001A" w14:textId="77777777" w:rsidR="002150F3" w:rsidRPr="001849B0" w:rsidRDefault="002150F3" w:rsidP="002150F3">
            <w:pPr>
              <w:ind w:firstLine="0"/>
              <w:jc w:val="center"/>
              <w:rPr>
                <w:color w:val="000000"/>
                <w:sz w:val="22"/>
                <w:szCs w:val="22"/>
              </w:rPr>
            </w:pPr>
            <w:r w:rsidRPr="001849B0">
              <w:rPr>
                <w:color w:val="000000"/>
                <w:sz w:val="22"/>
                <w:szCs w:val="22"/>
              </w:rPr>
              <w:t>0</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1254C309" w14:textId="77777777" w:rsidR="002150F3" w:rsidRPr="001849B0" w:rsidRDefault="002150F3" w:rsidP="002150F3">
            <w:pPr>
              <w:ind w:firstLine="0"/>
              <w:jc w:val="center"/>
              <w:rPr>
                <w:color w:val="000000"/>
                <w:sz w:val="22"/>
                <w:szCs w:val="22"/>
              </w:rPr>
            </w:pPr>
            <w:r w:rsidRPr="001849B0">
              <w:rPr>
                <w:color w:val="000000"/>
                <w:sz w:val="22"/>
                <w:szCs w:val="22"/>
              </w:rPr>
              <w:t>0</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58CADEB9" w14:textId="77777777" w:rsidR="002150F3" w:rsidRPr="001849B0" w:rsidRDefault="002150F3" w:rsidP="002150F3">
            <w:pPr>
              <w:ind w:firstLine="0"/>
              <w:jc w:val="center"/>
              <w:rPr>
                <w:color w:val="000000"/>
                <w:sz w:val="22"/>
                <w:szCs w:val="22"/>
              </w:rPr>
            </w:pPr>
            <w:r w:rsidRPr="001849B0">
              <w:rPr>
                <w:color w:val="000000"/>
                <w:sz w:val="22"/>
                <w:szCs w:val="22"/>
              </w:rPr>
              <w:t>0</w:t>
            </w:r>
          </w:p>
        </w:tc>
      </w:tr>
      <w:tr w:rsidR="00E429B0" w:rsidRPr="002A7D65" w14:paraId="0D069E2B" w14:textId="77777777" w:rsidTr="00E429B0">
        <w:trPr>
          <w:trHeight w:val="262"/>
        </w:trPr>
        <w:tc>
          <w:tcPr>
            <w:tcW w:w="2112" w:type="dxa"/>
            <w:tcBorders>
              <w:top w:val="single" w:sz="4" w:space="0" w:color="auto"/>
              <w:bottom w:val="single" w:sz="4" w:space="0" w:color="auto"/>
              <w:right w:val="single" w:sz="4" w:space="0" w:color="auto"/>
            </w:tcBorders>
            <w:vAlign w:val="center"/>
          </w:tcPr>
          <w:p w14:paraId="2158AA2B" w14:textId="77777777" w:rsidR="00E429B0" w:rsidRPr="002A7D65" w:rsidRDefault="00E429B0" w:rsidP="00E429B0">
            <w:pPr>
              <w:ind w:firstLine="0"/>
              <w:jc w:val="center"/>
              <w:rPr>
                <w:sz w:val="20"/>
                <w:szCs w:val="20"/>
              </w:rPr>
            </w:pPr>
          </w:p>
        </w:tc>
        <w:tc>
          <w:tcPr>
            <w:tcW w:w="1905" w:type="dxa"/>
            <w:tcBorders>
              <w:top w:val="single" w:sz="4" w:space="0" w:color="auto"/>
              <w:bottom w:val="single" w:sz="4" w:space="0" w:color="auto"/>
              <w:right w:val="single" w:sz="4" w:space="0" w:color="auto"/>
            </w:tcBorders>
            <w:vAlign w:val="center"/>
          </w:tcPr>
          <w:p w14:paraId="6184E8E5" w14:textId="77777777" w:rsidR="00E429B0" w:rsidRPr="002A7D65" w:rsidRDefault="00E429B0" w:rsidP="00E429B0">
            <w:pPr>
              <w:ind w:firstLine="0"/>
              <w:jc w:val="center"/>
              <w:rPr>
                <w:b/>
                <w:bCs/>
                <w:color w:val="000000"/>
                <w:sz w:val="20"/>
                <w:szCs w:val="20"/>
              </w:rPr>
            </w:pPr>
            <w:r w:rsidRPr="002A7D65">
              <w:rPr>
                <w:b/>
                <w:bCs/>
                <w:sz w:val="20"/>
                <w:szCs w:val="20"/>
              </w:rPr>
              <w:t xml:space="preserve">Kultūras ministrija </w:t>
            </w:r>
            <w:r w:rsidRPr="002A7D65">
              <w:rPr>
                <w:sz w:val="20"/>
                <w:szCs w:val="20"/>
              </w:rPr>
              <w:t>20.00.00 kultūrizglītība</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14:paraId="42E778A6" w14:textId="2826EA7E" w:rsidR="00E429B0" w:rsidRPr="001849B0" w:rsidRDefault="00E429B0" w:rsidP="00E429B0">
            <w:pPr>
              <w:ind w:firstLine="0"/>
              <w:jc w:val="center"/>
              <w:rPr>
                <w:color w:val="000000"/>
                <w:sz w:val="22"/>
                <w:szCs w:val="22"/>
              </w:rPr>
            </w:pPr>
            <w:r w:rsidRPr="001849B0">
              <w:rPr>
                <w:color w:val="000000"/>
                <w:sz w:val="22"/>
                <w:szCs w:val="22"/>
              </w:rPr>
              <w:t>11 287 167</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14:paraId="450C61E1" w14:textId="02164936" w:rsidR="00E429B0" w:rsidRPr="001849B0" w:rsidRDefault="00E429B0" w:rsidP="00E429B0">
            <w:pPr>
              <w:ind w:firstLine="0"/>
              <w:jc w:val="center"/>
              <w:rPr>
                <w:color w:val="000000"/>
                <w:sz w:val="22"/>
                <w:szCs w:val="22"/>
              </w:rPr>
            </w:pPr>
            <w:r w:rsidRPr="001849B0">
              <w:rPr>
                <w:color w:val="000000"/>
                <w:sz w:val="22"/>
                <w:szCs w:val="22"/>
              </w:rPr>
              <w:t>11 287 167</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14:paraId="0713CBF5" w14:textId="17666BE9" w:rsidR="00E429B0" w:rsidRPr="001849B0" w:rsidRDefault="00E429B0" w:rsidP="00E429B0">
            <w:pPr>
              <w:ind w:firstLine="0"/>
              <w:jc w:val="center"/>
              <w:rPr>
                <w:color w:val="000000"/>
                <w:sz w:val="22"/>
                <w:szCs w:val="22"/>
              </w:rPr>
            </w:pPr>
            <w:r w:rsidRPr="001849B0">
              <w:rPr>
                <w:color w:val="000000"/>
                <w:sz w:val="22"/>
                <w:szCs w:val="22"/>
              </w:rPr>
              <w:t>11 287 167</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1D8439F7" w14:textId="77777777" w:rsidR="00E429B0" w:rsidRPr="001849B0" w:rsidRDefault="00E429B0" w:rsidP="00E429B0">
            <w:pPr>
              <w:ind w:firstLine="0"/>
              <w:jc w:val="center"/>
              <w:rPr>
                <w:color w:val="000000"/>
                <w:sz w:val="22"/>
                <w:szCs w:val="22"/>
              </w:rPr>
            </w:pPr>
            <w:r w:rsidRPr="001849B0">
              <w:rPr>
                <w:color w:val="000000"/>
                <w:sz w:val="22"/>
                <w:szCs w:val="22"/>
              </w:rPr>
              <w:t>0</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74B088E7" w14:textId="77777777" w:rsidR="00E429B0" w:rsidRPr="001849B0" w:rsidRDefault="00E429B0" w:rsidP="00E429B0">
            <w:pPr>
              <w:ind w:firstLine="0"/>
              <w:jc w:val="center"/>
              <w:rPr>
                <w:color w:val="000000"/>
                <w:sz w:val="22"/>
                <w:szCs w:val="22"/>
              </w:rPr>
            </w:pPr>
            <w:r w:rsidRPr="001849B0">
              <w:rPr>
                <w:color w:val="000000"/>
                <w:sz w:val="22"/>
                <w:szCs w:val="22"/>
              </w:rPr>
              <w:t>0</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3380ED65" w14:textId="77777777" w:rsidR="00E429B0" w:rsidRPr="001849B0" w:rsidRDefault="00E429B0" w:rsidP="00E429B0">
            <w:pPr>
              <w:ind w:firstLine="0"/>
              <w:jc w:val="center"/>
              <w:rPr>
                <w:color w:val="000000"/>
                <w:sz w:val="22"/>
                <w:szCs w:val="22"/>
              </w:rPr>
            </w:pPr>
            <w:r w:rsidRPr="001849B0">
              <w:rPr>
                <w:color w:val="000000"/>
                <w:sz w:val="22"/>
                <w:szCs w:val="22"/>
              </w:rPr>
              <w:t>0</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74200FAF" w14:textId="77777777" w:rsidR="00E429B0" w:rsidRPr="001849B0" w:rsidRDefault="00E429B0" w:rsidP="00E429B0">
            <w:pPr>
              <w:ind w:firstLine="0"/>
              <w:jc w:val="center"/>
              <w:rPr>
                <w:color w:val="000000"/>
                <w:sz w:val="22"/>
                <w:szCs w:val="22"/>
              </w:rPr>
            </w:pPr>
            <w:r w:rsidRPr="001849B0">
              <w:rPr>
                <w:color w:val="000000"/>
                <w:sz w:val="22"/>
                <w:szCs w:val="22"/>
              </w:rPr>
              <w:t>0</w:t>
            </w:r>
          </w:p>
        </w:tc>
      </w:tr>
      <w:tr w:rsidR="00E771A9" w:rsidRPr="002A7D65" w14:paraId="73B2AB26" w14:textId="77777777" w:rsidTr="000C2595">
        <w:trPr>
          <w:trHeight w:val="262"/>
        </w:trPr>
        <w:tc>
          <w:tcPr>
            <w:tcW w:w="2112" w:type="dxa"/>
            <w:tcBorders>
              <w:top w:val="single" w:sz="4" w:space="0" w:color="auto"/>
              <w:bottom w:val="single" w:sz="4" w:space="0" w:color="auto"/>
              <w:right w:val="single" w:sz="4" w:space="0" w:color="auto"/>
            </w:tcBorders>
            <w:vAlign w:val="center"/>
          </w:tcPr>
          <w:p w14:paraId="51EE992F" w14:textId="77777777" w:rsidR="00E771A9" w:rsidRPr="002A7D65" w:rsidRDefault="00E771A9" w:rsidP="000C2595">
            <w:pPr>
              <w:ind w:firstLine="0"/>
              <w:jc w:val="center"/>
              <w:rPr>
                <w:sz w:val="20"/>
                <w:szCs w:val="20"/>
              </w:rPr>
            </w:pPr>
          </w:p>
        </w:tc>
        <w:tc>
          <w:tcPr>
            <w:tcW w:w="1905" w:type="dxa"/>
            <w:tcBorders>
              <w:top w:val="single" w:sz="4" w:space="0" w:color="auto"/>
              <w:bottom w:val="single" w:sz="4" w:space="0" w:color="auto"/>
              <w:right w:val="single" w:sz="4" w:space="0" w:color="auto"/>
            </w:tcBorders>
            <w:vAlign w:val="center"/>
          </w:tcPr>
          <w:p w14:paraId="49777771" w14:textId="77777777" w:rsidR="00E771A9" w:rsidRPr="002A7D65" w:rsidRDefault="00E771A9" w:rsidP="000C2595">
            <w:pPr>
              <w:ind w:firstLine="0"/>
              <w:jc w:val="center"/>
              <w:rPr>
                <w:b/>
                <w:bCs/>
                <w:sz w:val="20"/>
                <w:szCs w:val="20"/>
              </w:rPr>
            </w:pPr>
            <w:r w:rsidRPr="002A7D65">
              <w:rPr>
                <w:b/>
                <w:bCs/>
                <w:sz w:val="20"/>
                <w:szCs w:val="20"/>
              </w:rPr>
              <w:t xml:space="preserve">74. Gadskārtējā valsts budžeta izpildes procesā pārdalāmais finansējums </w:t>
            </w:r>
            <w:r w:rsidRPr="002A7D65">
              <w:rPr>
                <w:sz w:val="20"/>
                <w:szCs w:val="20"/>
              </w:rPr>
              <w:t>09.00.00 "Valsts nozīmes reformas īstenošanai"</w:t>
            </w:r>
          </w:p>
        </w:tc>
        <w:tc>
          <w:tcPr>
            <w:tcW w:w="1400" w:type="dxa"/>
            <w:tcBorders>
              <w:top w:val="single" w:sz="4" w:space="0" w:color="auto"/>
              <w:left w:val="nil"/>
              <w:bottom w:val="single" w:sz="4" w:space="0" w:color="auto"/>
              <w:right w:val="single" w:sz="4" w:space="0" w:color="auto"/>
            </w:tcBorders>
            <w:shd w:val="clear" w:color="auto" w:fill="auto"/>
            <w:vAlign w:val="center"/>
          </w:tcPr>
          <w:p w14:paraId="072DFBF4" w14:textId="77777777" w:rsidR="00E771A9" w:rsidRPr="001849B0" w:rsidRDefault="00E771A9" w:rsidP="000C2595">
            <w:pPr>
              <w:ind w:firstLine="0"/>
              <w:jc w:val="center"/>
              <w:rPr>
                <w:color w:val="000000"/>
                <w:sz w:val="22"/>
                <w:szCs w:val="22"/>
              </w:rPr>
            </w:pPr>
            <w:r w:rsidRPr="001849B0">
              <w:rPr>
                <w:color w:val="000000"/>
                <w:sz w:val="22"/>
                <w:szCs w:val="22"/>
              </w:rPr>
              <w:t>14 800 000</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14:paraId="0A276136" w14:textId="77777777" w:rsidR="00E771A9" w:rsidRPr="001849B0" w:rsidRDefault="00E771A9" w:rsidP="000C2595">
            <w:pPr>
              <w:ind w:firstLine="0"/>
              <w:jc w:val="center"/>
              <w:rPr>
                <w:color w:val="000000"/>
                <w:sz w:val="22"/>
                <w:szCs w:val="22"/>
              </w:rPr>
            </w:pPr>
            <w:r w:rsidRPr="001849B0">
              <w:rPr>
                <w:color w:val="000000"/>
                <w:sz w:val="22"/>
                <w:szCs w:val="22"/>
              </w:rPr>
              <w:t>21 500 000</w:t>
            </w:r>
          </w:p>
        </w:tc>
        <w:tc>
          <w:tcPr>
            <w:tcW w:w="1400" w:type="dxa"/>
            <w:tcBorders>
              <w:top w:val="single" w:sz="4" w:space="0" w:color="auto"/>
              <w:left w:val="single" w:sz="4" w:space="0" w:color="auto"/>
              <w:bottom w:val="single" w:sz="4" w:space="0" w:color="auto"/>
              <w:right w:val="nil"/>
            </w:tcBorders>
            <w:shd w:val="clear" w:color="auto" w:fill="auto"/>
            <w:vAlign w:val="center"/>
          </w:tcPr>
          <w:p w14:paraId="23C9167B" w14:textId="77777777" w:rsidR="00E771A9" w:rsidRPr="001849B0" w:rsidRDefault="00E771A9" w:rsidP="000C2595">
            <w:pPr>
              <w:ind w:firstLine="0"/>
              <w:jc w:val="center"/>
              <w:rPr>
                <w:color w:val="000000"/>
                <w:sz w:val="22"/>
                <w:szCs w:val="22"/>
              </w:rPr>
            </w:pPr>
            <w:r w:rsidRPr="001849B0">
              <w:rPr>
                <w:color w:val="000000"/>
                <w:sz w:val="22"/>
                <w:szCs w:val="22"/>
              </w:rPr>
              <w:t>21 500 000</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7470398F" w14:textId="77777777" w:rsidR="00E771A9" w:rsidRPr="001849B0" w:rsidRDefault="00E771A9" w:rsidP="000C2595">
            <w:pPr>
              <w:ind w:firstLine="0"/>
              <w:jc w:val="center"/>
              <w:rPr>
                <w:color w:val="000000"/>
                <w:sz w:val="22"/>
                <w:szCs w:val="22"/>
              </w:rPr>
            </w:pPr>
            <w:r w:rsidRPr="001849B0">
              <w:rPr>
                <w:color w:val="000000"/>
                <w:sz w:val="22"/>
                <w:szCs w:val="22"/>
              </w:rPr>
              <w:t>0</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105D0ABA" w14:textId="77777777" w:rsidR="00E771A9" w:rsidRPr="001849B0" w:rsidRDefault="00E771A9" w:rsidP="000C2595">
            <w:pPr>
              <w:ind w:firstLine="0"/>
              <w:jc w:val="center"/>
              <w:rPr>
                <w:color w:val="000000"/>
                <w:sz w:val="22"/>
                <w:szCs w:val="22"/>
              </w:rPr>
            </w:pPr>
            <w:r w:rsidRPr="001849B0">
              <w:rPr>
                <w:color w:val="000000"/>
                <w:sz w:val="22"/>
                <w:szCs w:val="22"/>
              </w:rPr>
              <w:t>0</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5C714B13" w14:textId="77777777" w:rsidR="00E771A9" w:rsidRPr="001849B0" w:rsidRDefault="00E771A9" w:rsidP="000C2595">
            <w:pPr>
              <w:ind w:firstLine="0"/>
              <w:jc w:val="center"/>
              <w:rPr>
                <w:color w:val="000000"/>
                <w:sz w:val="22"/>
                <w:szCs w:val="22"/>
              </w:rPr>
            </w:pPr>
            <w:r w:rsidRPr="001849B0">
              <w:rPr>
                <w:color w:val="000000"/>
                <w:sz w:val="22"/>
                <w:szCs w:val="22"/>
              </w:rPr>
              <w:t>0</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0159F903" w14:textId="77777777" w:rsidR="00E771A9" w:rsidRPr="001849B0" w:rsidRDefault="00E771A9" w:rsidP="000C2595">
            <w:pPr>
              <w:ind w:firstLine="0"/>
              <w:jc w:val="center"/>
              <w:rPr>
                <w:color w:val="000000"/>
                <w:sz w:val="22"/>
                <w:szCs w:val="22"/>
              </w:rPr>
            </w:pPr>
            <w:r w:rsidRPr="001849B0">
              <w:rPr>
                <w:color w:val="000000"/>
                <w:sz w:val="22"/>
                <w:szCs w:val="22"/>
              </w:rPr>
              <w:t>0</w:t>
            </w:r>
          </w:p>
        </w:tc>
      </w:tr>
      <w:tr w:rsidR="00422FDE" w:rsidRPr="002A7D65" w14:paraId="379E0914" w14:textId="77777777" w:rsidTr="00422FDE">
        <w:trPr>
          <w:trHeight w:val="262"/>
        </w:trPr>
        <w:tc>
          <w:tcPr>
            <w:tcW w:w="2112" w:type="dxa"/>
            <w:tcBorders>
              <w:top w:val="single" w:sz="4" w:space="0" w:color="auto"/>
              <w:bottom w:val="single" w:sz="4" w:space="0" w:color="auto"/>
              <w:right w:val="single" w:sz="4" w:space="0" w:color="auto"/>
            </w:tcBorders>
            <w:shd w:val="clear" w:color="auto" w:fill="CCCCFF"/>
            <w:vAlign w:val="center"/>
          </w:tcPr>
          <w:p w14:paraId="285CC073" w14:textId="77777777" w:rsidR="00422FDE" w:rsidRPr="002A7D65" w:rsidRDefault="00422FDE" w:rsidP="00422FDE">
            <w:pPr>
              <w:ind w:firstLine="0"/>
              <w:jc w:val="center"/>
              <w:rPr>
                <w:sz w:val="20"/>
                <w:szCs w:val="20"/>
              </w:rPr>
            </w:pPr>
            <w:r w:rsidRPr="002A7D65">
              <w:rPr>
                <w:sz w:val="22"/>
                <w:szCs w:val="22"/>
              </w:rPr>
              <w:t xml:space="preserve">B: </w:t>
            </w:r>
            <w:proofErr w:type="spellStart"/>
            <w:r w:rsidRPr="002A7D65">
              <w:rPr>
                <w:sz w:val="22"/>
                <w:szCs w:val="22"/>
              </w:rPr>
              <w:t>Izmēģinājumprojekta</w:t>
            </w:r>
            <w:proofErr w:type="spellEnd"/>
            <w:r w:rsidRPr="002A7D65">
              <w:rPr>
                <w:sz w:val="22"/>
                <w:szCs w:val="22"/>
              </w:rPr>
              <w:t xml:space="preserve"> rezultātos balstīta sistēmiska pāreja uz institucionālo finansējumu</w:t>
            </w:r>
          </w:p>
        </w:tc>
        <w:tc>
          <w:tcPr>
            <w:tcW w:w="1905" w:type="dxa"/>
            <w:tcBorders>
              <w:top w:val="single" w:sz="4" w:space="0" w:color="auto"/>
              <w:bottom w:val="single" w:sz="4" w:space="0" w:color="auto"/>
              <w:right w:val="single" w:sz="4" w:space="0" w:color="auto"/>
            </w:tcBorders>
            <w:shd w:val="clear" w:color="auto" w:fill="CCCCFF"/>
            <w:vAlign w:val="center"/>
          </w:tcPr>
          <w:p w14:paraId="094FD386" w14:textId="77777777" w:rsidR="00422FDE" w:rsidRPr="002A7D65" w:rsidRDefault="00422FDE" w:rsidP="00422FDE">
            <w:pPr>
              <w:ind w:firstLine="0"/>
              <w:jc w:val="center"/>
              <w:rPr>
                <w:b/>
                <w:bCs/>
                <w:sz w:val="20"/>
                <w:szCs w:val="20"/>
              </w:rPr>
            </w:pPr>
            <w:r w:rsidRPr="002A7D65">
              <w:rPr>
                <w:b/>
                <w:bCs/>
                <w:color w:val="000000"/>
                <w:sz w:val="22"/>
                <w:szCs w:val="22"/>
              </w:rPr>
              <w:t>Kopā:</w:t>
            </w:r>
          </w:p>
        </w:tc>
        <w:tc>
          <w:tcPr>
            <w:tcW w:w="1400" w:type="dxa"/>
            <w:tcBorders>
              <w:top w:val="single" w:sz="4" w:space="0" w:color="auto"/>
              <w:left w:val="nil"/>
              <w:bottom w:val="single" w:sz="4" w:space="0" w:color="auto"/>
              <w:right w:val="single" w:sz="4" w:space="0" w:color="auto"/>
            </w:tcBorders>
            <w:shd w:val="clear" w:color="auto" w:fill="CCCCFF"/>
            <w:vAlign w:val="center"/>
          </w:tcPr>
          <w:p w14:paraId="567263B1" w14:textId="69242F1D" w:rsidR="00422FDE" w:rsidRPr="00FF6BF8" w:rsidRDefault="00422FDE" w:rsidP="00422FDE">
            <w:pPr>
              <w:ind w:firstLine="0"/>
              <w:jc w:val="center"/>
              <w:rPr>
                <w:b/>
                <w:bCs/>
                <w:color w:val="000000"/>
                <w:sz w:val="22"/>
                <w:szCs w:val="22"/>
              </w:rPr>
            </w:pPr>
            <w:r w:rsidRPr="00451D63">
              <w:rPr>
                <w:b/>
                <w:bCs/>
                <w:color w:val="000000"/>
                <w:sz w:val="22"/>
                <w:szCs w:val="22"/>
              </w:rPr>
              <w:t>169 057 690</w:t>
            </w:r>
          </w:p>
        </w:tc>
        <w:tc>
          <w:tcPr>
            <w:tcW w:w="1400" w:type="dxa"/>
            <w:tcBorders>
              <w:top w:val="single" w:sz="4" w:space="0" w:color="auto"/>
              <w:left w:val="single" w:sz="4" w:space="0" w:color="auto"/>
              <w:bottom w:val="single" w:sz="4" w:space="0" w:color="auto"/>
              <w:right w:val="single" w:sz="4" w:space="0" w:color="auto"/>
            </w:tcBorders>
            <w:shd w:val="clear" w:color="auto" w:fill="CCCCFF"/>
            <w:vAlign w:val="center"/>
          </w:tcPr>
          <w:p w14:paraId="7D6756FD" w14:textId="557A47AC" w:rsidR="00422FDE" w:rsidRPr="00FF6BF8" w:rsidRDefault="00422FDE" w:rsidP="00422FDE">
            <w:pPr>
              <w:ind w:firstLine="0"/>
              <w:jc w:val="center"/>
              <w:rPr>
                <w:b/>
                <w:bCs/>
                <w:color w:val="000000"/>
                <w:sz w:val="22"/>
                <w:szCs w:val="22"/>
              </w:rPr>
            </w:pPr>
            <w:r w:rsidRPr="00451D63">
              <w:rPr>
                <w:b/>
                <w:bCs/>
                <w:color w:val="000000"/>
                <w:sz w:val="22"/>
                <w:szCs w:val="22"/>
              </w:rPr>
              <w:t>175 175 240</w:t>
            </w:r>
          </w:p>
        </w:tc>
        <w:tc>
          <w:tcPr>
            <w:tcW w:w="1400" w:type="dxa"/>
            <w:tcBorders>
              <w:top w:val="single" w:sz="4" w:space="0" w:color="auto"/>
              <w:left w:val="single" w:sz="4" w:space="0" w:color="auto"/>
              <w:bottom w:val="single" w:sz="4" w:space="0" w:color="auto"/>
              <w:right w:val="nil"/>
            </w:tcBorders>
            <w:shd w:val="clear" w:color="auto" w:fill="CCCCFF"/>
            <w:vAlign w:val="center"/>
          </w:tcPr>
          <w:p w14:paraId="00811203" w14:textId="114DF551" w:rsidR="00422FDE" w:rsidRPr="00FF6BF8" w:rsidRDefault="00422FDE" w:rsidP="00422FDE">
            <w:pPr>
              <w:ind w:firstLine="0"/>
              <w:jc w:val="center"/>
              <w:rPr>
                <w:b/>
                <w:bCs/>
                <w:color w:val="000000"/>
                <w:sz w:val="22"/>
                <w:szCs w:val="22"/>
              </w:rPr>
            </w:pPr>
            <w:r w:rsidRPr="00451D63">
              <w:rPr>
                <w:b/>
                <w:bCs/>
                <w:color w:val="000000"/>
                <w:sz w:val="22"/>
                <w:szCs w:val="22"/>
              </w:rPr>
              <w:t>174 939 037</w:t>
            </w:r>
          </w:p>
        </w:tc>
        <w:tc>
          <w:tcPr>
            <w:tcW w:w="1311" w:type="dxa"/>
            <w:tcBorders>
              <w:top w:val="single" w:sz="4" w:space="0" w:color="auto"/>
              <w:left w:val="single" w:sz="4" w:space="0" w:color="auto"/>
              <w:bottom w:val="single" w:sz="4" w:space="0" w:color="auto"/>
              <w:right w:val="single" w:sz="4" w:space="0" w:color="auto"/>
            </w:tcBorders>
            <w:shd w:val="clear" w:color="auto" w:fill="CCCCFF"/>
            <w:vAlign w:val="center"/>
          </w:tcPr>
          <w:p w14:paraId="729CB85B" w14:textId="77777777" w:rsidR="00422FDE" w:rsidRPr="00FF6BF8" w:rsidRDefault="00422FDE" w:rsidP="00422FDE">
            <w:pPr>
              <w:ind w:firstLine="0"/>
              <w:jc w:val="center"/>
              <w:rPr>
                <w:b/>
                <w:bCs/>
                <w:color w:val="000000"/>
                <w:sz w:val="22"/>
                <w:szCs w:val="22"/>
              </w:rPr>
            </w:pPr>
            <w:r w:rsidRPr="002A7D65">
              <w:rPr>
                <w:b/>
                <w:bCs/>
                <w:color w:val="000000"/>
                <w:sz w:val="22"/>
                <w:szCs w:val="22"/>
              </w:rPr>
              <w:t>0</w:t>
            </w:r>
          </w:p>
        </w:tc>
        <w:tc>
          <w:tcPr>
            <w:tcW w:w="1311" w:type="dxa"/>
            <w:tcBorders>
              <w:top w:val="single" w:sz="4" w:space="0" w:color="auto"/>
              <w:left w:val="single" w:sz="4" w:space="0" w:color="auto"/>
              <w:bottom w:val="single" w:sz="4" w:space="0" w:color="auto"/>
              <w:right w:val="single" w:sz="4" w:space="0" w:color="auto"/>
            </w:tcBorders>
            <w:shd w:val="clear" w:color="auto" w:fill="CCCCFF"/>
            <w:vAlign w:val="center"/>
          </w:tcPr>
          <w:p w14:paraId="01596EE7" w14:textId="77777777" w:rsidR="00422FDE" w:rsidRPr="00FE0877" w:rsidRDefault="00422FDE" w:rsidP="00422FDE">
            <w:pPr>
              <w:ind w:firstLine="0"/>
              <w:jc w:val="center"/>
              <w:rPr>
                <w:b/>
                <w:bCs/>
                <w:color w:val="000000"/>
                <w:sz w:val="20"/>
                <w:szCs w:val="20"/>
              </w:rPr>
            </w:pPr>
            <w:r w:rsidRPr="00FE0877">
              <w:rPr>
                <w:b/>
                <w:bCs/>
                <w:color w:val="000000"/>
                <w:sz w:val="22"/>
                <w:szCs w:val="22"/>
              </w:rPr>
              <w:t>0</w:t>
            </w:r>
          </w:p>
        </w:tc>
        <w:tc>
          <w:tcPr>
            <w:tcW w:w="1311" w:type="dxa"/>
            <w:tcBorders>
              <w:top w:val="single" w:sz="4" w:space="0" w:color="auto"/>
              <w:left w:val="single" w:sz="4" w:space="0" w:color="auto"/>
              <w:bottom w:val="single" w:sz="4" w:space="0" w:color="auto"/>
              <w:right w:val="single" w:sz="4" w:space="0" w:color="auto"/>
            </w:tcBorders>
            <w:shd w:val="clear" w:color="auto" w:fill="CCCCFF"/>
            <w:vAlign w:val="center"/>
          </w:tcPr>
          <w:p w14:paraId="5F004BE3" w14:textId="5E33CD86" w:rsidR="00422FDE" w:rsidRPr="00FE0877" w:rsidRDefault="00422FDE" w:rsidP="00422FDE">
            <w:pPr>
              <w:ind w:firstLine="0"/>
              <w:jc w:val="center"/>
              <w:rPr>
                <w:b/>
                <w:bCs/>
                <w:color w:val="000000"/>
                <w:sz w:val="22"/>
                <w:szCs w:val="22"/>
              </w:rPr>
            </w:pPr>
            <w:r w:rsidRPr="00FE0877">
              <w:rPr>
                <w:b/>
                <w:bCs/>
              </w:rPr>
              <w:t>26 754 793</w:t>
            </w:r>
          </w:p>
        </w:tc>
        <w:tc>
          <w:tcPr>
            <w:tcW w:w="1312" w:type="dxa"/>
            <w:tcBorders>
              <w:top w:val="single" w:sz="4" w:space="0" w:color="auto"/>
              <w:left w:val="single" w:sz="4" w:space="0" w:color="auto"/>
              <w:bottom w:val="single" w:sz="4" w:space="0" w:color="auto"/>
              <w:right w:val="single" w:sz="4" w:space="0" w:color="auto"/>
            </w:tcBorders>
            <w:shd w:val="clear" w:color="auto" w:fill="CCCCFF"/>
            <w:vAlign w:val="center"/>
          </w:tcPr>
          <w:p w14:paraId="296C379B" w14:textId="0458A97F" w:rsidR="00422FDE" w:rsidRPr="00FE0877" w:rsidRDefault="00422FDE" w:rsidP="00422FDE">
            <w:pPr>
              <w:ind w:firstLine="0"/>
              <w:jc w:val="center"/>
              <w:rPr>
                <w:b/>
                <w:bCs/>
                <w:color w:val="000000"/>
                <w:sz w:val="22"/>
                <w:szCs w:val="22"/>
              </w:rPr>
            </w:pPr>
            <w:r w:rsidRPr="00FE0877">
              <w:rPr>
                <w:b/>
                <w:bCs/>
              </w:rPr>
              <w:t>26 754 793</w:t>
            </w:r>
          </w:p>
        </w:tc>
      </w:tr>
      <w:tr w:rsidR="00422FDE" w:rsidRPr="002A7D65" w14:paraId="2DD45B04" w14:textId="77777777" w:rsidTr="00422FDE">
        <w:trPr>
          <w:trHeight w:val="262"/>
        </w:trPr>
        <w:tc>
          <w:tcPr>
            <w:tcW w:w="2112" w:type="dxa"/>
            <w:tcBorders>
              <w:top w:val="single" w:sz="4" w:space="0" w:color="auto"/>
              <w:bottom w:val="single" w:sz="4" w:space="0" w:color="auto"/>
              <w:right w:val="single" w:sz="4" w:space="0" w:color="auto"/>
            </w:tcBorders>
            <w:vAlign w:val="center"/>
          </w:tcPr>
          <w:p w14:paraId="44CF20F4" w14:textId="77777777" w:rsidR="00422FDE" w:rsidRPr="002A7D65" w:rsidRDefault="00422FDE" w:rsidP="00422FDE">
            <w:pPr>
              <w:ind w:firstLine="0"/>
              <w:jc w:val="center"/>
              <w:rPr>
                <w:sz w:val="20"/>
                <w:szCs w:val="20"/>
              </w:rPr>
            </w:pPr>
          </w:p>
        </w:tc>
        <w:tc>
          <w:tcPr>
            <w:tcW w:w="1905" w:type="dxa"/>
            <w:tcBorders>
              <w:top w:val="single" w:sz="4" w:space="0" w:color="auto"/>
              <w:bottom w:val="single" w:sz="4" w:space="0" w:color="auto"/>
              <w:right w:val="single" w:sz="4" w:space="0" w:color="auto"/>
            </w:tcBorders>
            <w:shd w:val="clear" w:color="auto" w:fill="auto"/>
          </w:tcPr>
          <w:p w14:paraId="592FFE91" w14:textId="77777777" w:rsidR="00422FDE" w:rsidRPr="002A7D65" w:rsidRDefault="00422FDE" w:rsidP="00422FDE">
            <w:pPr>
              <w:ind w:firstLine="0"/>
              <w:jc w:val="center"/>
              <w:rPr>
                <w:b/>
                <w:bCs/>
                <w:color w:val="000000"/>
                <w:sz w:val="20"/>
                <w:szCs w:val="20"/>
              </w:rPr>
            </w:pPr>
            <w:r w:rsidRPr="002A7D65">
              <w:rPr>
                <w:b/>
                <w:bCs/>
                <w:color w:val="000000"/>
                <w:sz w:val="20"/>
                <w:szCs w:val="20"/>
              </w:rPr>
              <w:t>Izglītības un zinātnes ministrija</w:t>
            </w:r>
          </w:p>
          <w:p w14:paraId="2145D6EC" w14:textId="77777777" w:rsidR="00422FDE" w:rsidRPr="002A7D65" w:rsidRDefault="00422FDE" w:rsidP="00422FDE">
            <w:pPr>
              <w:ind w:firstLine="0"/>
              <w:jc w:val="center"/>
              <w:rPr>
                <w:b/>
                <w:bCs/>
                <w:color w:val="000000"/>
                <w:sz w:val="22"/>
                <w:szCs w:val="22"/>
              </w:rPr>
            </w:pPr>
            <w:r w:rsidRPr="002A7D65">
              <w:rPr>
                <w:color w:val="000000"/>
                <w:sz w:val="20"/>
                <w:szCs w:val="20"/>
              </w:rPr>
              <w:t>03.01.00 Augstākās izglītības programmu nodrošināšana</w:t>
            </w:r>
          </w:p>
        </w:tc>
        <w:tc>
          <w:tcPr>
            <w:tcW w:w="1400" w:type="dxa"/>
            <w:tcBorders>
              <w:top w:val="single" w:sz="4" w:space="0" w:color="auto"/>
              <w:left w:val="nil"/>
              <w:bottom w:val="single" w:sz="4" w:space="0" w:color="auto"/>
              <w:right w:val="single" w:sz="4" w:space="0" w:color="auto"/>
            </w:tcBorders>
            <w:shd w:val="clear" w:color="auto" w:fill="auto"/>
            <w:vAlign w:val="center"/>
          </w:tcPr>
          <w:p w14:paraId="0F52D1D6" w14:textId="1B38057D" w:rsidR="00422FDE" w:rsidRPr="00FF6BF8" w:rsidRDefault="00422FDE" w:rsidP="00422FDE">
            <w:pPr>
              <w:ind w:firstLine="0"/>
              <w:jc w:val="center"/>
              <w:rPr>
                <w:color w:val="000000"/>
                <w:sz w:val="22"/>
                <w:szCs w:val="22"/>
              </w:rPr>
            </w:pPr>
            <w:r w:rsidRPr="00FF6BF8">
              <w:rPr>
                <w:color w:val="000000"/>
                <w:sz w:val="22"/>
                <w:szCs w:val="22"/>
              </w:rPr>
              <w:t>96 609 454</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14:paraId="7748B7C2" w14:textId="18359B23" w:rsidR="00422FDE" w:rsidRPr="00FF6BF8" w:rsidRDefault="00422FDE" w:rsidP="00422FDE">
            <w:pPr>
              <w:ind w:firstLine="0"/>
              <w:jc w:val="center"/>
              <w:rPr>
                <w:color w:val="000000"/>
                <w:sz w:val="22"/>
                <w:szCs w:val="22"/>
              </w:rPr>
            </w:pPr>
            <w:r w:rsidRPr="00FF6BF8">
              <w:rPr>
                <w:color w:val="000000"/>
                <w:sz w:val="22"/>
                <w:szCs w:val="22"/>
              </w:rPr>
              <w:t>96 759 003</w:t>
            </w:r>
          </w:p>
        </w:tc>
        <w:tc>
          <w:tcPr>
            <w:tcW w:w="1400" w:type="dxa"/>
            <w:tcBorders>
              <w:top w:val="single" w:sz="4" w:space="0" w:color="auto"/>
              <w:left w:val="single" w:sz="4" w:space="0" w:color="auto"/>
              <w:bottom w:val="single" w:sz="4" w:space="0" w:color="auto"/>
              <w:right w:val="nil"/>
            </w:tcBorders>
            <w:shd w:val="clear" w:color="auto" w:fill="auto"/>
            <w:vAlign w:val="center"/>
          </w:tcPr>
          <w:p w14:paraId="3BBE9672" w14:textId="556C8213" w:rsidR="00422FDE" w:rsidRPr="00FF6BF8" w:rsidRDefault="00422FDE" w:rsidP="00422FDE">
            <w:pPr>
              <w:ind w:firstLine="0"/>
              <w:jc w:val="center"/>
              <w:rPr>
                <w:color w:val="000000"/>
                <w:sz w:val="22"/>
                <w:szCs w:val="22"/>
              </w:rPr>
            </w:pPr>
            <w:r w:rsidRPr="00FF6BF8">
              <w:rPr>
                <w:color w:val="000000"/>
                <w:sz w:val="22"/>
                <w:szCs w:val="22"/>
              </w:rPr>
              <w:t>96 522 799</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199E6EC1" w14:textId="77777777" w:rsidR="00422FDE" w:rsidRPr="00FF6BF8" w:rsidRDefault="00422FDE" w:rsidP="00422FDE">
            <w:pPr>
              <w:ind w:firstLine="0"/>
              <w:jc w:val="center"/>
              <w:rPr>
                <w:color w:val="000000"/>
                <w:sz w:val="22"/>
                <w:szCs w:val="22"/>
              </w:rPr>
            </w:pPr>
            <w:r w:rsidRPr="00FF6BF8">
              <w:rPr>
                <w:color w:val="000000"/>
                <w:sz w:val="22"/>
                <w:szCs w:val="22"/>
              </w:rPr>
              <w:t>0</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6E0BA5B2" w14:textId="77777777" w:rsidR="00422FDE" w:rsidRPr="00FE0877" w:rsidRDefault="00422FDE" w:rsidP="00422FDE">
            <w:pPr>
              <w:ind w:firstLine="0"/>
              <w:jc w:val="center"/>
              <w:rPr>
                <w:color w:val="000000"/>
                <w:sz w:val="22"/>
                <w:szCs w:val="22"/>
              </w:rPr>
            </w:pPr>
            <w:r w:rsidRPr="00FE0877">
              <w:rPr>
                <w:color w:val="000000"/>
                <w:sz w:val="22"/>
                <w:szCs w:val="22"/>
              </w:rPr>
              <w:t>0</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4FE097B9" w14:textId="23833DD9" w:rsidR="00422FDE" w:rsidRPr="00FE0877" w:rsidRDefault="00422FDE" w:rsidP="00422FDE">
            <w:pPr>
              <w:ind w:firstLine="0"/>
              <w:jc w:val="center"/>
              <w:rPr>
                <w:color w:val="000000"/>
                <w:sz w:val="22"/>
                <w:szCs w:val="22"/>
              </w:rPr>
            </w:pPr>
            <w:r w:rsidRPr="00FE0877">
              <w:t>26 754 793</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762969FF" w14:textId="7C5F690C" w:rsidR="00422FDE" w:rsidRPr="00FE0877" w:rsidRDefault="00422FDE" w:rsidP="00422FDE">
            <w:pPr>
              <w:ind w:firstLine="0"/>
              <w:jc w:val="center"/>
              <w:rPr>
                <w:color w:val="000000"/>
                <w:sz w:val="22"/>
                <w:szCs w:val="22"/>
              </w:rPr>
            </w:pPr>
            <w:r w:rsidRPr="00FE0877">
              <w:t>26 754 793</w:t>
            </w:r>
          </w:p>
        </w:tc>
      </w:tr>
      <w:tr w:rsidR="00E771A9" w:rsidRPr="002A7D65" w14:paraId="2784B024" w14:textId="77777777" w:rsidTr="000C2595">
        <w:trPr>
          <w:trHeight w:val="262"/>
        </w:trPr>
        <w:tc>
          <w:tcPr>
            <w:tcW w:w="2112" w:type="dxa"/>
            <w:tcBorders>
              <w:top w:val="single" w:sz="4" w:space="0" w:color="auto"/>
              <w:bottom w:val="single" w:sz="4" w:space="0" w:color="auto"/>
              <w:right w:val="single" w:sz="4" w:space="0" w:color="auto"/>
            </w:tcBorders>
            <w:vAlign w:val="center"/>
          </w:tcPr>
          <w:p w14:paraId="46B47A33" w14:textId="77777777" w:rsidR="00E771A9" w:rsidRPr="002A7D65" w:rsidRDefault="00E771A9" w:rsidP="000C2595">
            <w:pPr>
              <w:ind w:firstLine="0"/>
              <w:jc w:val="center"/>
              <w:rPr>
                <w:sz w:val="20"/>
                <w:szCs w:val="20"/>
              </w:rPr>
            </w:pPr>
          </w:p>
        </w:tc>
        <w:tc>
          <w:tcPr>
            <w:tcW w:w="1905" w:type="dxa"/>
            <w:tcBorders>
              <w:top w:val="single" w:sz="4" w:space="0" w:color="auto"/>
              <w:bottom w:val="single" w:sz="4" w:space="0" w:color="auto"/>
              <w:right w:val="single" w:sz="4" w:space="0" w:color="auto"/>
            </w:tcBorders>
            <w:vAlign w:val="center"/>
          </w:tcPr>
          <w:p w14:paraId="14C0D6E3" w14:textId="77777777" w:rsidR="00E771A9" w:rsidRPr="002A7D65" w:rsidRDefault="00E771A9" w:rsidP="000C2595">
            <w:pPr>
              <w:ind w:firstLine="0"/>
              <w:jc w:val="center"/>
              <w:rPr>
                <w:b/>
                <w:bCs/>
                <w:sz w:val="20"/>
                <w:szCs w:val="20"/>
              </w:rPr>
            </w:pPr>
            <w:r w:rsidRPr="002A7D65">
              <w:rPr>
                <w:b/>
                <w:bCs/>
                <w:sz w:val="20"/>
                <w:szCs w:val="20"/>
              </w:rPr>
              <w:t>Izglītības un zinātnes ministrija</w:t>
            </w:r>
          </w:p>
          <w:p w14:paraId="45008C92" w14:textId="77777777" w:rsidR="00E771A9" w:rsidRPr="002A7D65" w:rsidRDefault="00E771A9" w:rsidP="000C2595">
            <w:pPr>
              <w:ind w:firstLine="0"/>
              <w:jc w:val="center"/>
              <w:rPr>
                <w:b/>
                <w:bCs/>
                <w:color w:val="000000"/>
                <w:sz w:val="20"/>
                <w:szCs w:val="20"/>
              </w:rPr>
            </w:pPr>
            <w:r w:rsidRPr="002A7D65">
              <w:rPr>
                <w:sz w:val="20"/>
                <w:szCs w:val="20"/>
              </w:rPr>
              <w:t>03.03.00 Zinātniskās darbības attīstība augstskolās un koledžās</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14:paraId="411D892B" w14:textId="77777777" w:rsidR="00E771A9" w:rsidRPr="00FF6BF8" w:rsidRDefault="00E771A9" w:rsidP="000C2595">
            <w:pPr>
              <w:ind w:firstLine="0"/>
              <w:jc w:val="center"/>
              <w:rPr>
                <w:color w:val="000000"/>
                <w:sz w:val="22"/>
                <w:szCs w:val="22"/>
              </w:rPr>
            </w:pPr>
            <w:r w:rsidRPr="00FF6BF8">
              <w:rPr>
                <w:color w:val="000000"/>
                <w:sz w:val="22"/>
                <w:szCs w:val="22"/>
              </w:rPr>
              <w:t>13 225 828</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14:paraId="2523FF14" w14:textId="77777777" w:rsidR="00E771A9" w:rsidRPr="00FF6BF8" w:rsidRDefault="00E771A9" w:rsidP="000C2595">
            <w:pPr>
              <w:ind w:firstLine="0"/>
              <w:jc w:val="center"/>
              <w:rPr>
                <w:color w:val="000000"/>
                <w:sz w:val="22"/>
                <w:szCs w:val="22"/>
              </w:rPr>
            </w:pPr>
            <w:r w:rsidRPr="00FF6BF8">
              <w:rPr>
                <w:color w:val="000000"/>
                <w:sz w:val="22"/>
                <w:szCs w:val="22"/>
              </w:rPr>
              <w:t>13 225 828</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14:paraId="70FD6E8A" w14:textId="77777777" w:rsidR="00E771A9" w:rsidRPr="00FF6BF8" w:rsidRDefault="00E771A9" w:rsidP="000C2595">
            <w:pPr>
              <w:ind w:firstLine="0"/>
              <w:jc w:val="center"/>
              <w:rPr>
                <w:color w:val="000000"/>
                <w:sz w:val="22"/>
                <w:szCs w:val="22"/>
              </w:rPr>
            </w:pPr>
            <w:r w:rsidRPr="00FF6BF8">
              <w:rPr>
                <w:color w:val="000000"/>
                <w:sz w:val="22"/>
                <w:szCs w:val="22"/>
              </w:rPr>
              <w:t>13 225 828</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4586A0E3" w14:textId="77777777" w:rsidR="00E771A9" w:rsidRPr="00FF6BF8" w:rsidRDefault="00E771A9" w:rsidP="000C2595">
            <w:pPr>
              <w:ind w:firstLine="0"/>
              <w:jc w:val="center"/>
              <w:rPr>
                <w:color w:val="000000"/>
                <w:sz w:val="22"/>
                <w:szCs w:val="22"/>
              </w:rPr>
            </w:pPr>
            <w:r w:rsidRPr="00FF6BF8">
              <w:rPr>
                <w:color w:val="000000"/>
                <w:sz w:val="22"/>
                <w:szCs w:val="22"/>
              </w:rPr>
              <w:t>0</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58D70EF0" w14:textId="77777777" w:rsidR="00E771A9" w:rsidRPr="00FF6BF8" w:rsidRDefault="00E771A9" w:rsidP="000C2595">
            <w:pPr>
              <w:ind w:firstLine="0"/>
              <w:jc w:val="center"/>
              <w:rPr>
                <w:color w:val="000000"/>
                <w:sz w:val="22"/>
                <w:szCs w:val="22"/>
              </w:rPr>
            </w:pPr>
            <w:r w:rsidRPr="00FF6BF8">
              <w:rPr>
                <w:color w:val="000000"/>
                <w:sz w:val="22"/>
                <w:szCs w:val="22"/>
              </w:rPr>
              <w:t>0</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4D64EB4C" w14:textId="77777777" w:rsidR="00E771A9" w:rsidRPr="00FF6BF8" w:rsidRDefault="00E771A9" w:rsidP="000C2595">
            <w:pPr>
              <w:ind w:firstLine="0"/>
              <w:jc w:val="center"/>
              <w:rPr>
                <w:color w:val="000000"/>
                <w:sz w:val="22"/>
                <w:szCs w:val="22"/>
              </w:rPr>
            </w:pPr>
            <w:r w:rsidRPr="00FF6BF8">
              <w:rPr>
                <w:color w:val="000000"/>
                <w:sz w:val="22"/>
                <w:szCs w:val="22"/>
              </w:rPr>
              <w:t>0</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33A3A1D8" w14:textId="77777777" w:rsidR="00E771A9" w:rsidRPr="00FF6BF8" w:rsidRDefault="00E771A9" w:rsidP="000C2595">
            <w:pPr>
              <w:ind w:firstLine="0"/>
              <w:jc w:val="center"/>
              <w:rPr>
                <w:color w:val="000000"/>
                <w:sz w:val="22"/>
                <w:szCs w:val="22"/>
              </w:rPr>
            </w:pPr>
            <w:r w:rsidRPr="00FF6BF8">
              <w:rPr>
                <w:color w:val="000000"/>
                <w:sz w:val="22"/>
                <w:szCs w:val="22"/>
              </w:rPr>
              <w:t>0</w:t>
            </w:r>
          </w:p>
        </w:tc>
      </w:tr>
      <w:tr w:rsidR="00CB1FD5" w:rsidRPr="002A7D65" w14:paraId="120E76CE" w14:textId="77777777" w:rsidTr="00B70A64">
        <w:trPr>
          <w:trHeight w:val="274"/>
        </w:trPr>
        <w:tc>
          <w:tcPr>
            <w:tcW w:w="2112" w:type="dxa"/>
            <w:tcBorders>
              <w:top w:val="single" w:sz="4" w:space="0" w:color="auto"/>
              <w:bottom w:val="single" w:sz="4" w:space="0" w:color="auto"/>
              <w:right w:val="single" w:sz="4" w:space="0" w:color="auto"/>
            </w:tcBorders>
            <w:vAlign w:val="center"/>
          </w:tcPr>
          <w:p w14:paraId="2866124C" w14:textId="77777777" w:rsidR="00CB1FD5" w:rsidRPr="002A7D65" w:rsidRDefault="00CB1FD5" w:rsidP="00CB1FD5">
            <w:pPr>
              <w:ind w:firstLine="0"/>
              <w:jc w:val="center"/>
              <w:rPr>
                <w:sz w:val="20"/>
                <w:szCs w:val="20"/>
              </w:rPr>
            </w:pPr>
          </w:p>
        </w:tc>
        <w:tc>
          <w:tcPr>
            <w:tcW w:w="1905" w:type="dxa"/>
            <w:tcBorders>
              <w:top w:val="single" w:sz="4" w:space="0" w:color="auto"/>
              <w:bottom w:val="single" w:sz="4" w:space="0" w:color="auto"/>
              <w:right w:val="single" w:sz="4" w:space="0" w:color="auto"/>
            </w:tcBorders>
            <w:vAlign w:val="center"/>
          </w:tcPr>
          <w:p w14:paraId="6ED8B071" w14:textId="77777777" w:rsidR="00CB1FD5" w:rsidRPr="002A7D65" w:rsidRDefault="00CB1FD5" w:rsidP="00CB1FD5">
            <w:pPr>
              <w:ind w:firstLine="0"/>
              <w:jc w:val="center"/>
              <w:rPr>
                <w:b/>
                <w:bCs/>
                <w:sz w:val="20"/>
                <w:szCs w:val="20"/>
              </w:rPr>
            </w:pPr>
            <w:r w:rsidRPr="002A7D65">
              <w:rPr>
                <w:b/>
                <w:bCs/>
                <w:sz w:val="20"/>
                <w:szCs w:val="20"/>
              </w:rPr>
              <w:t>Veselības ministrija</w:t>
            </w:r>
          </w:p>
          <w:p w14:paraId="09F5E028" w14:textId="77777777" w:rsidR="00CB1FD5" w:rsidRPr="002A7D65" w:rsidRDefault="00CB1FD5" w:rsidP="00CB1FD5">
            <w:pPr>
              <w:ind w:firstLine="0"/>
              <w:jc w:val="center"/>
              <w:rPr>
                <w:b/>
                <w:bCs/>
                <w:color w:val="000000"/>
                <w:sz w:val="20"/>
                <w:szCs w:val="20"/>
              </w:rPr>
            </w:pPr>
            <w:r w:rsidRPr="002A7D65">
              <w:rPr>
                <w:color w:val="000000"/>
                <w:sz w:val="20"/>
                <w:szCs w:val="20"/>
              </w:rPr>
              <w:lastRenderedPageBreak/>
              <w:t>02.03.00 Augstākā medicīnas izglītība</w:t>
            </w:r>
          </w:p>
        </w:tc>
        <w:tc>
          <w:tcPr>
            <w:tcW w:w="1400" w:type="dxa"/>
            <w:tcBorders>
              <w:top w:val="nil"/>
              <w:left w:val="nil"/>
              <w:bottom w:val="nil"/>
              <w:right w:val="nil"/>
            </w:tcBorders>
            <w:shd w:val="clear" w:color="auto" w:fill="auto"/>
            <w:vAlign w:val="bottom"/>
          </w:tcPr>
          <w:p w14:paraId="38A510CF" w14:textId="39C5FD7A" w:rsidR="00CB1FD5" w:rsidRPr="00FF6BF8" w:rsidRDefault="00CB1FD5" w:rsidP="00CB1FD5">
            <w:pPr>
              <w:ind w:firstLine="0"/>
              <w:jc w:val="center"/>
              <w:rPr>
                <w:color w:val="000000"/>
                <w:sz w:val="22"/>
                <w:szCs w:val="22"/>
              </w:rPr>
            </w:pPr>
            <w:r w:rsidRPr="00FF6BF8">
              <w:rPr>
                <w:color w:val="000000"/>
                <w:sz w:val="22"/>
                <w:szCs w:val="22"/>
              </w:rPr>
              <w:lastRenderedPageBreak/>
              <w:t>21 641 083</w:t>
            </w:r>
          </w:p>
        </w:tc>
        <w:tc>
          <w:tcPr>
            <w:tcW w:w="1400" w:type="dxa"/>
            <w:tcBorders>
              <w:top w:val="nil"/>
              <w:left w:val="nil"/>
              <w:bottom w:val="nil"/>
              <w:right w:val="nil"/>
            </w:tcBorders>
            <w:shd w:val="clear" w:color="auto" w:fill="auto"/>
            <w:vAlign w:val="bottom"/>
          </w:tcPr>
          <w:p w14:paraId="2F82AA78" w14:textId="601DF064" w:rsidR="00CB1FD5" w:rsidRPr="00FF6BF8" w:rsidRDefault="00CB1FD5" w:rsidP="00CB1FD5">
            <w:pPr>
              <w:ind w:firstLine="0"/>
              <w:jc w:val="center"/>
              <w:rPr>
                <w:color w:val="000000"/>
                <w:sz w:val="22"/>
                <w:szCs w:val="22"/>
              </w:rPr>
            </w:pPr>
            <w:r w:rsidRPr="00FF6BF8">
              <w:rPr>
                <w:color w:val="000000"/>
                <w:sz w:val="22"/>
                <w:szCs w:val="22"/>
              </w:rPr>
              <w:t>21 641 084</w:t>
            </w:r>
          </w:p>
        </w:tc>
        <w:tc>
          <w:tcPr>
            <w:tcW w:w="1400" w:type="dxa"/>
            <w:tcBorders>
              <w:top w:val="nil"/>
              <w:left w:val="nil"/>
              <w:bottom w:val="nil"/>
              <w:right w:val="nil"/>
            </w:tcBorders>
            <w:shd w:val="clear" w:color="auto" w:fill="auto"/>
            <w:vAlign w:val="bottom"/>
          </w:tcPr>
          <w:p w14:paraId="42D28C32" w14:textId="3BA4C341" w:rsidR="00CB1FD5" w:rsidRPr="00FF6BF8" w:rsidRDefault="00CB1FD5" w:rsidP="00CB1FD5">
            <w:pPr>
              <w:ind w:firstLine="0"/>
              <w:jc w:val="center"/>
              <w:rPr>
                <w:color w:val="000000"/>
                <w:sz w:val="22"/>
                <w:szCs w:val="22"/>
              </w:rPr>
            </w:pPr>
            <w:r w:rsidRPr="00FF6BF8">
              <w:rPr>
                <w:color w:val="000000"/>
                <w:sz w:val="22"/>
                <w:szCs w:val="22"/>
              </w:rPr>
              <w:t>21 641 085</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22592266" w14:textId="77777777" w:rsidR="00CB1FD5" w:rsidRPr="00FF6BF8" w:rsidRDefault="00CB1FD5" w:rsidP="00CB1FD5">
            <w:pPr>
              <w:ind w:firstLine="0"/>
              <w:jc w:val="center"/>
              <w:rPr>
                <w:color w:val="000000"/>
                <w:sz w:val="22"/>
                <w:szCs w:val="22"/>
              </w:rPr>
            </w:pPr>
            <w:r w:rsidRPr="00FF6BF8">
              <w:rPr>
                <w:color w:val="000000"/>
                <w:sz w:val="22"/>
                <w:szCs w:val="22"/>
              </w:rPr>
              <w:t>0</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50895A6D" w14:textId="77777777" w:rsidR="00CB1FD5" w:rsidRPr="00FF6BF8" w:rsidRDefault="00CB1FD5" w:rsidP="00CB1FD5">
            <w:pPr>
              <w:ind w:firstLine="0"/>
              <w:jc w:val="center"/>
              <w:rPr>
                <w:color w:val="000000"/>
                <w:sz w:val="22"/>
                <w:szCs w:val="22"/>
              </w:rPr>
            </w:pPr>
            <w:r w:rsidRPr="00FF6BF8">
              <w:rPr>
                <w:color w:val="000000"/>
                <w:sz w:val="22"/>
                <w:szCs w:val="22"/>
              </w:rPr>
              <w:t>0</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405EEA5A" w14:textId="77777777" w:rsidR="00CB1FD5" w:rsidRPr="00FF6BF8" w:rsidRDefault="00CB1FD5" w:rsidP="00CB1FD5">
            <w:pPr>
              <w:ind w:firstLine="0"/>
              <w:jc w:val="center"/>
              <w:rPr>
                <w:color w:val="000000"/>
                <w:sz w:val="22"/>
                <w:szCs w:val="22"/>
              </w:rPr>
            </w:pPr>
            <w:r w:rsidRPr="00FF6BF8">
              <w:rPr>
                <w:color w:val="000000"/>
                <w:sz w:val="22"/>
                <w:szCs w:val="22"/>
              </w:rPr>
              <w:t>0</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145167F9" w14:textId="77777777" w:rsidR="00CB1FD5" w:rsidRPr="00FF6BF8" w:rsidRDefault="00CB1FD5" w:rsidP="00CB1FD5">
            <w:pPr>
              <w:ind w:firstLine="0"/>
              <w:jc w:val="center"/>
              <w:rPr>
                <w:color w:val="000000"/>
                <w:sz w:val="22"/>
                <w:szCs w:val="22"/>
              </w:rPr>
            </w:pPr>
            <w:r w:rsidRPr="00FF6BF8">
              <w:rPr>
                <w:color w:val="000000"/>
                <w:sz w:val="22"/>
                <w:szCs w:val="22"/>
              </w:rPr>
              <w:t>0</w:t>
            </w:r>
          </w:p>
        </w:tc>
      </w:tr>
      <w:tr w:rsidR="002150F3" w:rsidRPr="002A7D65" w14:paraId="4730D1D1" w14:textId="77777777" w:rsidTr="000C2595">
        <w:trPr>
          <w:trHeight w:val="274"/>
        </w:trPr>
        <w:tc>
          <w:tcPr>
            <w:tcW w:w="2112" w:type="dxa"/>
            <w:tcBorders>
              <w:top w:val="single" w:sz="4" w:space="0" w:color="auto"/>
              <w:bottom w:val="single" w:sz="4" w:space="0" w:color="auto"/>
              <w:right w:val="single" w:sz="4" w:space="0" w:color="auto"/>
            </w:tcBorders>
            <w:vAlign w:val="center"/>
          </w:tcPr>
          <w:p w14:paraId="4FF06AEB" w14:textId="77777777" w:rsidR="002150F3" w:rsidRPr="002A7D65" w:rsidRDefault="002150F3" w:rsidP="002150F3">
            <w:pPr>
              <w:ind w:firstLine="0"/>
              <w:jc w:val="center"/>
              <w:rPr>
                <w:sz w:val="20"/>
                <w:szCs w:val="20"/>
              </w:rPr>
            </w:pPr>
          </w:p>
        </w:tc>
        <w:tc>
          <w:tcPr>
            <w:tcW w:w="1905" w:type="dxa"/>
            <w:tcBorders>
              <w:top w:val="single" w:sz="4" w:space="0" w:color="auto"/>
              <w:bottom w:val="single" w:sz="4" w:space="0" w:color="auto"/>
              <w:right w:val="single" w:sz="4" w:space="0" w:color="auto"/>
            </w:tcBorders>
            <w:vAlign w:val="center"/>
          </w:tcPr>
          <w:p w14:paraId="5542880B" w14:textId="77777777" w:rsidR="002150F3" w:rsidRPr="002A7D65" w:rsidRDefault="002150F3" w:rsidP="002150F3">
            <w:pPr>
              <w:ind w:firstLine="0"/>
              <w:jc w:val="center"/>
              <w:rPr>
                <w:b/>
                <w:bCs/>
                <w:sz w:val="20"/>
                <w:szCs w:val="20"/>
              </w:rPr>
            </w:pPr>
            <w:r w:rsidRPr="002A7D65">
              <w:rPr>
                <w:b/>
                <w:bCs/>
                <w:sz w:val="20"/>
                <w:szCs w:val="20"/>
              </w:rPr>
              <w:t>Zemkopības ministrija</w:t>
            </w:r>
          </w:p>
          <w:p w14:paraId="746A038E" w14:textId="77777777" w:rsidR="002150F3" w:rsidRPr="002A7D65" w:rsidRDefault="002150F3" w:rsidP="002150F3">
            <w:pPr>
              <w:ind w:firstLine="0"/>
              <w:jc w:val="center"/>
              <w:rPr>
                <w:b/>
                <w:bCs/>
                <w:color w:val="000000"/>
                <w:sz w:val="20"/>
                <w:szCs w:val="20"/>
              </w:rPr>
            </w:pPr>
            <w:r w:rsidRPr="002A7D65">
              <w:rPr>
                <w:sz w:val="20"/>
                <w:szCs w:val="20"/>
              </w:rPr>
              <w:t>22.02.00 Augstākā izglītība</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14:paraId="22175E91" w14:textId="7F23E21A" w:rsidR="002150F3" w:rsidRPr="001849B0" w:rsidRDefault="002150F3" w:rsidP="002150F3">
            <w:pPr>
              <w:ind w:firstLine="0"/>
              <w:jc w:val="center"/>
              <w:rPr>
                <w:color w:val="000000"/>
                <w:sz w:val="22"/>
                <w:szCs w:val="22"/>
              </w:rPr>
            </w:pPr>
            <w:r w:rsidRPr="001849B0">
              <w:rPr>
                <w:color w:val="000000"/>
                <w:sz w:val="22"/>
                <w:szCs w:val="22"/>
              </w:rPr>
              <w:t>11 494 158</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14:paraId="75939D71" w14:textId="5ED4F180" w:rsidR="002150F3" w:rsidRPr="001849B0" w:rsidRDefault="002150F3" w:rsidP="002150F3">
            <w:pPr>
              <w:ind w:firstLine="0"/>
              <w:jc w:val="center"/>
              <w:rPr>
                <w:color w:val="000000"/>
                <w:sz w:val="22"/>
                <w:szCs w:val="22"/>
              </w:rPr>
            </w:pPr>
            <w:r w:rsidRPr="001849B0">
              <w:rPr>
                <w:color w:val="000000"/>
                <w:sz w:val="22"/>
                <w:szCs w:val="22"/>
              </w:rPr>
              <w:t>10 762 158</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14:paraId="3B0BDDCE" w14:textId="35A86720" w:rsidR="002150F3" w:rsidRPr="001849B0" w:rsidRDefault="002150F3" w:rsidP="002150F3">
            <w:pPr>
              <w:ind w:firstLine="0"/>
              <w:jc w:val="center"/>
              <w:rPr>
                <w:color w:val="000000"/>
                <w:sz w:val="22"/>
                <w:szCs w:val="22"/>
              </w:rPr>
            </w:pPr>
            <w:r w:rsidRPr="001849B0">
              <w:rPr>
                <w:color w:val="000000"/>
                <w:sz w:val="22"/>
                <w:szCs w:val="22"/>
              </w:rPr>
              <w:t>10 762 158</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5148F516" w14:textId="77777777" w:rsidR="002150F3" w:rsidRPr="00FF6BF8" w:rsidRDefault="002150F3" w:rsidP="002150F3">
            <w:pPr>
              <w:ind w:firstLine="0"/>
              <w:jc w:val="center"/>
              <w:rPr>
                <w:color w:val="000000"/>
                <w:sz w:val="22"/>
                <w:szCs w:val="22"/>
              </w:rPr>
            </w:pPr>
            <w:r w:rsidRPr="00FF6BF8">
              <w:rPr>
                <w:color w:val="000000"/>
                <w:sz w:val="22"/>
                <w:szCs w:val="22"/>
              </w:rPr>
              <w:t>0</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76EF313E" w14:textId="77777777" w:rsidR="002150F3" w:rsidRPr="00FF6BF8" w:rsidRDefault="002150F3" w:rsidP="002150F3">
            <w:pPr>
              <w:ind w:firstLine="0"/>
              <w:jc w:val="center"/>
              <w:rPr>
                <w:color w:val="000000"/>
                <w:sz w:val="22"/>
                <w:szCs w:val="22"/>
              </w:rPr>
            </w:pPr>
            <w:r w:rsidRPr="00FF6BF8">
              <w:rPr>
                <w:color w:val="000000"/>
                <w:sz w:val="22"/>
                <w:szCs w:val="22"/>
              </w:rPr>
              <w:t>0</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51411913" w14:textId="77777777" w:rsidR="002150F3" w:rsidRPr="00FF6BF8" w:rsidRDefault="002150F3" w:rsidP="002150F3">
            <w:pPr>
              <w:ind w:firstLine="0"/>
              <w:jc w:val="center"/>
              <w:rPr>
                <w:color w:val="000000"/>
                <w:sz w:val="22"/>
                <w:szCs w:val="22"/>
              </w:rPr>
            </w:pPr>
            <w:r w:rsidRPr="00FF6BF8">
              <w:rPr>
                <w:color w:val="000000"/>
                <w:sz w:val="22"/>
                <w:szCs w:val="22"/>
              </w:rPr>
              <w:t>0</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496BC9FD" w14:textId="77777777" w:rsidR="002150F3" w:rsidRPr="00FF6BF8" w:rsidRDefault="002150F3" w:rsidP="002150F3">
            <w:pPr>
              <w:ind w:firstLine="0"/>
              <w:jc w:val="center"/>
              <w:rPr>
                <w:color w:val="000000"/>
                <w:sz w:val="22"/>
                <w:szCs w:val="22"/>
              </w:rPr>
            </w:pPr>
            <w:r w:rsidRPr="00FF6BF8">
              <w:rPr>
                <w:color w:val="000000"/>
                <w:sz w:val="22"/>
                <w:szCs w:val="22"/>
              </w:rPr>
              <w:t>0</w:t>
            </w:r>
          </w:p>
        </w:tc>
      </w:tr>
      <w:tr w:rsidR="00FC6EB1" w:rsidRPr="002A7D65" w14:paraId="5E19CAB2" w14:textId="77777777" w:rsidTr="000C2595">
        <w:trPr>
          <w:trHeight w:val="274"/>
        </w:trPr>
        <w:tc>
          <w:tcPr>
            <w:tcW w:w="2112" w:type="dxa"/>
            <w:tcBorders>
              <w:top w:val="single" w:sz="4" w:space="0" w:color="auto"/>
              <w:bottom w:val="single" w:sz="4" w:space="0" w:color="auto"/>
              <w:right w:val="single" w:sz="4" w:space="0" w:color="auto"/>
            </w:tcBorders>
            <w:vAlign w:val="center"/>
          </w:tcPr>
          <w:p w14:paraId="36EE0FC6" w14:textId="77777777" w:rsidR="00FC6EB1" w:rsidRPr="002A7D65" w:rsidRDefault="00FC6EB1" w:rsidP="00FC6EB1">
            <w:pPr>
              <w:ind w:firstLine="0"/>
              <w:jc w:val="center"/>
              <w:rPr>
                <w:sz w:val="20"/>
                <w:szCs w:val="20"/>
              </w:rPr>
            </w:pPr>
          </w:p>
        </w:tc>
        <w:tc>
          <w:tcPr>
            <w:tcW w:w="1905" w:type="dxa"/>
            <w:tcBorders>
              <w:top w:val="single" w:sz="4" w:space="0" w:color="auto"/>
              <w:bottom w:val="single" w:sz="4" w:space="0" w:color="auto"/>
              <w:right w:val="single" w:sz="4" w:space="0" w:color="auto"/>
            </w:tcBorders>
            <w:vAlign w:val="center"/>
          </w:tcPr>
          <w:p w14:paraId="65DFF864" w14:textId="77777777" w:rsidR="00FC6EB1" w:rsidRPr="002A7D65" w:rsidRDefault="00FC6EB1" w:rsidP="00FC6EB1">
            <w:pPr>
              <w:ind w:firstLine="0"/>
              <w:jc w:val="center"/>
              <w:rPr>
                <w:b/>
                <w:bCs/>
                <w:color w:val="000000"/>
                <w:sz w:val="20"/>
                <w:szCs w:val="20"/>
              </w:rPr>
            </w:pPr>
            <w:r w:rsidRPr="002A7D65">
              <w:rPr>
                <w:b/>
                <w:bCs/>
                <w:sz w:val="20"/>
                <w:szCs w:val="20"/>
              </w:rPr>
              <w:t xml:space="preserve">Kultūras ministrija </w:t>
            </w:r>
            <w:r w:rsidRPr="002A7D65">
              <w:rPr>
                <w:sz w:val="20"/>
                <w:szCs w:val="20"/>
              </w:rPr>
              <w:t>20.00.00 kultūrizglītība</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14:paraId="5C490FE2" w14:textId="4283D76E" w:rsidR="00FC6EB1" w:rsidRPr="00FF6BF8" w:rsidRDefault="00FC6EB1" w:rsidP="00FC6EB1">
            <w:pPr>
              <w:ind w:firstLine="0"/>
              <w:jc w:val="center"/>
              <w:rPr>
                <w:color w:val="000000"/>
                <w:sz w:val="22"/>
                <w:szCs w:val="22"/>
              </w:rPr>
            </w:pPr>
            <w:r w:rsidRPr="00FF6BF8">
              <w:rPr>
                <w:color w:val="000000"/>
                <w:sz w:val="22"/>
                <w:szCs w:val="22"/>
              </w:rPr>
              <w:t>11 287 167</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14:paraId="79F33F18" w14:textId="46180C82" w:rsidR="00FC6EB1" w:rsidRPr="00FF6BF8" w:rsidRDefault="00FC6EB1" w:rsidP="00FC6EB1">
            <w:pPr>
              <w:ind w:firstLine="0"/>
              <w:jc w:val="center"/>
              <w:rPr>
                <w:color w:val="000000"/>
                <w:sz w:val="22"/>
                <w:szCs w:val="22"/>
              </w:rPr>
            </w:pPr>
            <w:r w:rsidRPr="00FF6BF8">
              <w:rPr>
                <w:color w:val="000000"/>
                <w:sz w:val="22"/>
                <w:szCs w:val="22"/>
              </w:rPr>
              <w:t>11 287 167</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14:paraId="03C86E70" w14:textId="018E1AD1" w:rsidR="00FC6EB1" w:rsidRPr="00FF6BF8" w:rsidRDefault="00FC6EB1" w:rsidP="00FC6EB1">
            <w:pPr>
              <w:ind w:firstLine="0"/>
              <w:jc w:val="center"/>
              <w:rPr>
                <w:color w:val="000000"/>
                <w:sz w:val="22"/>
                <w:szCs w:val="22"/>
              </w:rPr>
            </w:pPr>
            <w:r w:rsidRPr="00FF6BF8">
              <w:rPr>
                <w:color w:val="000000"/>
                <w:sz w:val="22"/>
                <w:szCs w:val="22"/>
              </w:rPr>
              <w:t>11 287 167</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3B4175C3" w14:textId="77777777" w:rsidR="00FC6EB1" w:rsidRPr="00FF6BF8" w:rsidRDefault="00FC6EB1" w:rsidP="00FC6EB1">
            <w:pPr>
              <w:ind w:firstLine="0"/>
              <w:jc w:val="center"/>
              <w:rPr>
                <w:color w:val="000000"/>
                <w:sz w:val="22"/>
                <w:szCs w:val="22"/>
              </w:rPr>
            </w:pPr>
            <w:r w:rsidRPr="00FF6BF8">
              <w:rPr>
                <w:color w:val="000000"/>
                <w:sz w:val="22"/>
                <w:szCs w:val="22"/>
              </w:rPr>
              <w:t>0</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594F80B9" w14:textId="77777777" w:rsidR="00FC6EB1" w:rsidRPr="00FF6BF8" w:rsidRDefault="00FC6EB1" w:rsidP="00FC6EB1">
            <w:pPr>
              <w:ind w:firstLine="0"/>
              <w:jc w:val="center"/>
              <w:rPr>
                <w:color w:val="000000"/>
                <w:sz w:val="22"/>
                <w:szCs w:val="22"/>
              </w:rPr>
            </w:pPr>
            <w:r w:rsidRPr="00FF6BF8">
              <w:rPr>
                <w:color w:val="000000"/>
                <w:sz w:val="22"/>
                <w:szCs w:val="22"/>
              </w:rPr>
              <w:t>0</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5A0A0C9A" w14:textId="77777777" w:rsidR="00FC6EB1" w:rsidRPr="00FF6BF8" w:rsidRDefault="00FC6EB1" w:rsidP="00FC6EB1">
            <w:pPr>
              <w:ind w:firstLine="0"/>
              <w:jc w:val="center"/>
              <w:rPr>
                <w:color w:val="000000"/>
                <w:sz w:val="22"/>
                <w:szCs w:val="22"/>
              </w:rPr>
            </w:pPr>
            <w:r w:rsidRPr="00FF6BF8">
              <w:rPr>
                <w:color w:val="000000"/>
                <w:sz w:val="22"/>
                <w:szCs w:val="22"/>
              </w:rPr>
              <w:t>0</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4E925027" w14:textId="77777777" w:rsidR="00FC6EB1" w:rsidRPr="00FF6BF8" w:rsidRDefault="00FC6EB1" w:rsidP="00FC6EB1">
            <w:pPr>
              <w:ind w:firstLine="0"/>
              <w:jc w:val="center"/>
              <w:rPr>
                <w:color w:val="000000"/>
                <w:sz w:val="22"/>
                <w:szCs w:val="22"/>
              </w:rPr>
            </w:pPr>
            <w:r w:rsidRPr="00FF6BF8">
              <w:rPr>
                <w:color w:val="000000"/>
                <w:sz w:val="22"/>
                <w:szCs w:val="22"/>
              </w:rPr>
              <w:t>0</w:t>
            </w:r>
          </w:p>
        </w:tc>
      </w:tr>
      <w:tr w:rsidR="00E771A9" w:rsidRPr="002A7D65" w14:paraId="4AD0185E" w14:textId="77777777" w:rsidTr="000C2595">
        <w:trPr>
          <w:trHeight w:val="274"/>
        </w:trPr>
        <w:tc>
          <w:tcPr>
            <w:tcW w:w="2112" w:type="dxa"/>
            <w:tcBorders>
              <w:top w:val="single" w:sz="4" w:space="0" w:color="auto"/>
              <w:bottom w:val="single" w:sz="4" w:space="0" w:color="auto"/>
              <w:right w:val="single" w:sz="4" w:space="0" w:color="auto"/>
            </w:tcBorders>
            <w:vAlign w:val="center"/>
          </w:tcPr>
          <w:p w14:paraId="1E820966" w14:textId="77777777" w:rsidR="00E771A9" w:rsidRPr="002A7D65" w:rsidRDefault="00E771A9" w:rsidP="000C2595">
            <w:pPr>
              <w:ind w:firstLine="0"/>
              <w:jc w:val="center"/>
              <w:rPr>
                <w:sz w:val="20"/>
                <w:szCs w:val="20"/>
              </w:rPr>
            </w:pPr>
          </w:p>
        </w:tc>
        <w:tc>
          <w:tcPr>
            <w:tcW w:w="1905" w:type="dxa"/>
            <w:tcBorders>
              <w:top w:val="single" w:sz="4" w:space="0" w:color="auto"/>
              <w:bottom w:val="single" w:sz="4" w:space="0" w:color="auto"/>
              <w:right w:val="single" w:sz="4" w:space="0" w:color="auto"/>
            </w:tcBorders>
            <w:vAlign w:val="center"/>
          </w:tcPr>
          <w:p w14:paraId="7DAF55C2" w14:textId="77777777" w:rsidR="00E771A9" w:rsidRPr="002A7D65" w:rsidRDefault="00E771A9" w:rsidP="000C2595">
            <w:pPr>
              <w:ind w:firstLine="0"/>
              <w:jc w:val="center"/>
              <w:rPr>
                <w:b/>
                <w:bCs/>
                <w:color w:val="000000"/>
                <w:sz w:val="20"/>
                <w:szCs w:val="20"/>
              </w:rPr>
            </w:pPr>
            <w:r w:rsidRPr="002A7D65">
              <w:rPr>
                <w:b/>
                <w:bCs/>
                <w:sz w:val="20"/>
                <w:szCs w:val="20"/>
              </w:rPr>
              <w:t xml:space="preserve">74. Gadskārtējā valsts budžeta izpildes procesā pārdalāmais finansējums </w:t>
            </w:r>
            <w:r w:rsidRPr="002A7D65">
              <w:rPr>
                <w:sz w:val="20"/>
                <w:szCs w:val="20"/>
              </w:rPr>
              <w:t>09.00.00 "Valsts nozīmes reformas īstenošanai"</w:t>
            </w:r>
          </w:p>
        </w:tc>
        <w:tc>
          <w:tcPr>
            <w:tcW w:w="1400" w:type="dxa"/>
            <w:tcBorders>
              <w:top w:val="single" w:sz="4" w:space="0" w:color="auto"/>
              <w:left w:val="nil"/>
              <w:bottom w:val="single" w:sz="4" w:space="0" w:color="auto"/>
              <w:right w:val="single" w:sz="4" w:space="0" w:color="auto"/>
            </w:tcBorders>
            <w:shd w:val="clear" w:color="auto" w:fill="auto"/>
            <w:vAlign w:val="center"/>
          </w:tcPr>
          <w:p w14:paraId="4A79ED29" w14:textId="77777777" w:rsidR="00E771A9" w:rsidRPr="00FF6BF8" w:rsidRDefault="00E771A9" w:rsidP="000C2595">
            <w:pPr>
              <w:ind w:firstLine="0"/>
              <w:jc w:val="center"/>
              <w:rPr>
                <w:color w:val="000000"/>
                <w:sz w:val="22"/>
                <w:szCs w:val="22"/>
              </w:rPr>
            </w:pPr>
            <w:r w:rsidRPr="00FF6BF8">
              <w:rPr>
                <w:color w:val="000000"/>
                <w:sz w:val="22"/>
                <w:szCs w:val="22"/>
              </w:rPr>
              <w:t>14 800 000</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14:paraId="428C1722" w14:textId="77777777" w:rsidR="00E771A9" w:rsidRPr="00FF6BF8" w:rsidRDefault="00E771A9" w:rsidP="000C2595">
            <w:pPr>
              <w:ind w:firstLine="0"/>
              <w:jc w:val="center"/>
              <w:rPr>
                <w:color w:val="000000"/>
                <w:sz w:val="22"/>
                <w:szCs w:val="22"/>
              </w:rPr>
            </w:pPr>
            <w:r w:rsidRPr="00FF6BF8">
              <w:rPr>
                <w:color w:val="000000"/>
                <w:sz w:val="22"/>
                <w:szCs w:val="22"/>
              </w:rPr>
              <w:t>21 500 000</w:t>
            </w:r>
          </w:p>
        </w:tc>
        <w:tc>
          <w:tcPr>
            <w:tcW w:w="1400" w:type="dxa"/>
            <w:tcBorders>
              <w:top w:val="single" w:sz="4" w:space="0" w:color="auto"/>
              <w:left w:val="single" w:sz="4" w:space="0" w:color="auto"/>
              <w:bottom w:val="single" w:sz="4" w:space="0" w:color="auto"/>
              <w:right w:val="nil"/>
            </w:tcBorders>
            <w:shd w:val="clear" w:color="auto" w:fill="auto"/>
            <w:vAlign w:val="center"/>
          </w:tcPr>
          <w:p w14:paraId="13605A02" w14:textId="77777777" w:rsidR="00E771A9" w:rsidRPr="00FF6BF8" w:rsidRDefault="00E771A9" w:rsidP="000C2595">
            <w:pPr>
              <w:ind w:firstLine="0"/>
              <w:jc w:val="center"/>
              <w:rPr>
                <w:color w:val="000000"/>
                <w:sz w:val="22"/>
                <w:szCs w:val="22"/>
              </w:rPr>
            </w:pPr>
            <w:r w:rsidRPr="00FF6BF8">
              <w:rPr>
                <w:color w:val="000000"/>
                <w:sz w:val="22"/>
                <w:szCs w:val="22"/>
              </w:rPr>
              <w:t>21 500 000</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7269AC5B" w14:textId="77777777" w:rsidR="00E771A9" w:rsidRPr="00FF6BF8" w:rsidRDefault="00E771A9" w:rsidP="000C2595">
            <w:pPr>
              <w:ind w:firstLine="0"/>
              <w:jc w:val="center"/>
              <w:rPr>
                <w:color w:val="000000"/>
                <w:sz w:val="22"/>
                <w:szCs w:val="22"/>
              </w:rPr>
            </w:pPr>
            <w:r w:rsidRPr="00FF6BF8">
              <w:rPr>
                <w:color w:val="000000"/>
                <w:sz w:val="22"/>
                <w:szCs w:val="22"/>
              </w:rPr>
              <w:t>0</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5B0610A6" w14:textId="77777777" w:rsidR="00E771A9" w:rsidRPr="00FF6BF8" w:rsidRDefault="00E771A9" w:rsidP="000C2595">
            <w:pPr>
              <w:ind w:firstLine="0"/>
              <w:jc w:val="center"/>
              <w:rPr>
                <w:color w:val="000000"/>
                <w:sz w:val="22"/>
                <w:szCs w:val="22"/>
              </w:rPr>
            </w:pPr>
            <w:r w:rsidRPr="00FF6BF8">
              <w:rPr>
                <w:color w:val="000000"/>
                <w:sz w:val="22"/>
                <w:szCs w:val="22"/>
              </w:rPr>
              <w:t>0</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12B9983C" w14:textId="77777777" w:rsidR="00E771A9" w:rsidRPr="00FF6BF8" w:rsidRDefault="00E771A9" w:rsidP="000C2595">
            <w:pPr>
              <w:ind w:firstLine="0"/>
              <w:jc w:val="center"/>
              <w:rPr>
                <w:color w:val="000000"/>
                <w:sz w:val="22"/>
                <w:szCs w:val="22"/>
              </w:rPr>
            </w:pPr>
            <w:r w:rsidRPr="00FF6BF8">
              <w:rPr>
                <w:color w:val="000000"/>
                <w:sz w:val="22"/>
                <w:szCs w:val="22"/>
              </w:rPr>
              <w:t>0</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7511E6CC" w14:textId="77777777" w:rsidR="00E771A9" w:rsidRPr="00FF6BF8" w:rsidRDefault="00E771A9" w:rsidP="000C2595">
            <w:pPr>
              <w:ind w:firstLine="0"/>
              <w:jc w:val="center"/>
              <w:rPr>
                <w:color w:val="000000"/>
                <w:sz w:val="22"/>
                <w:szCs w:val="22"/>
              </w:rPr>
            </w:pPr>
            <w:r w:rsidRPr="00FF6BF8">
              <w:rPr>
                <w:color w:val="000000"/>
                <w:sz w:val="22"/>
                <w:szCs w:val="22"/>
              </w:rPr>
              <w:t>0</w:t>
            </w:r>
          </w:p>
        </w:tc>
      </w:tr>
    </w:tbl>
    <w:p w14:paraId="5458E3AC" w14:textId="77777777" w:rsidR="00E771A9" w:rsidRPr="002A7D65" w:rsidRDefault="00E771A9" w:rsidP="00E771A9"/>
    <w:p w14:paraId="712330B9" w14:textId="77777777" w:rsidR="00E771A9" w:rsidRPr="002A7D65" w:rsidRDefault="00E771A9" w:rsidP="00E771A9"/>
    <w:p w14:paraId="6E1110FB" w14:textId="77777777" w:rsidR="00E771A9" w:rsidRPr="002A7D65" w:rsidRDefault="00E771A9" w:rsidP="00E771A9">
      <w:pPr>
        <w:pStyle w:val="Heading2"/>
        <w:ind w:firstLine="0"/>
        <w:jc w:val="both"/>
        <w:sectPr w:rsidR="00E771A9" w:rsidRPr="002A7D65" w:rsidSect="00063F2E">
          <w:pgSz w:w="16838" w:h="11906" w:orient="landscape"/>
          <w:pgMar w:top="1418" w:right="1417" w:bottom="1558" w:left="1417" w:header="708" w:footer="708" w:gutter="0"/>
          <w:cols w:space="708"/>
          <w:titlePg/>
          <w:docGrid w:linePitch="360"/>
        </w:sectPr>
      </w:pPr>
    </w:p>
    <w:p w14:paraId="1FC55D0E" w14:textId="77777777" w:rsidR="00E771A9" w:rsidRPr="002A7D65" w:rsidRDefault="00E771A9" w:rsidP="00B21DB3"/>
    <w:p w14:paraId="718F9CE7" w14:textId="77777777" w:rsidR="00E771A9" w:rsidRPr="002A7D65" w:rsidRDefault="00E771A9" w:rsidP="00E771A9">
      <w:pPr>
        <w:pStyle w:val="Heading1"/>
      </w:pPr>
      <w:bookmarkStart w:id="36" w:name="_Toc108618679"/>
      <w:bookmarkStart w:id="37" w:name="_Toc167452337"/>
      <w:r w:rsidRPr="002A7D65">
        <w:t>Turpmākās rīcības indikatīvais plāns</w:t>
      </w:r>
      <w:bookmarkEnd w:id="36"/>
      <w:bookmarkEnd w:id="37"/>
    </w:p>
    <w:tbl>
      <w:tblPr>
        <w:tblStyle w:val="TableGrid"/>
        <w:tblW w:w="0" w:type="auto"/>
        <w:tblLook w:val="04A0" w:firstRow="1" w:lastRow="0" w:firstColumn="1" w:lastColumn="0" w:noHBand="0" w:noVBand="1"/>
      </w:tblPr>
      <w:tblGrid>
        <w:gridCol w:w="988"/>
        <w:gridCol w:w="5953"/>
        <w:gridCol w:w="1553"/>
      </w:tblGrid>
      <w:tr w:rsidR="00E771A9" w:rsidRPr="002A7D65" w14:paraId="1F4CCB6D" w14:textId="77777777" w:rsidTr="000C2595">
        <w:tc>
          <w:tcPr>
            <w:tcW w:w="988" w:type="dxa"/>
            <w:shd w:val="clear" w:color="auto" w:fill="7030A0"/>
          </w:tcPr>
          <w:p w14:paraId="2D833A50" w14:textId="77777777" w:rsidR="00E771A9" w:rsidRPr="002A7D65" w:rsidRDefault="00E771A9" w:rsidP="000C2595">
            <w:pPr>
              <w:ind w:firstLine="0"/>
              <w:rPr>
                <w:b/>
                <w:color w:val="FFFFFF" w:themeColor="background1"/>
              </w:rPr>
            </w:pPr>
            <w:r w:rsidRPr="002A7D65">
              <w:rPr>
                <w:b/>
                <w:color w:val="FFFFFF" w:themeColor="background1"/>
              </w:rPr>
              <w:t>Nr. p.k.</w:t>
            </w:r>
          </w:p>
        </w:tc>
        <w:tc>
          <w:tcPr>
            <w:tcW w:w="5953" w:type="dxa"/>
            <w:shd w:val="clear" w:color="auto" w:fill="7030A0"/>
          </w:tcPr>
          <w:p w14:paraId="1E60D439" w14:textId="77777777" w:rsidR="00E771A9" w:rsidRPr="002A7D65" w:rsidRDefault="00E771A9" w:rsidP="000C2595">
            <w:pPr>
              <w:ind w:firstLine="0"/>
              <w:rPr>
                <w:b/>
                <w:color w:val="FFFFFF" w:themeColor="background1"/>
              </w:rPr>
            </w:pPr>
            <w:r w:rsidRPr="002A7D65">
              <w:rPr>
                <w:b/>
                <w:color w:val="FFFFFF" w:themeColor="background1"/>
              </w:rPr>
              <w:t>Veicamais uzdevums</w:t>
            </w:r>
          </w:p>
        </w:tc>
        <w:tc>
          <w:tcPr>
            <w:tcW w:w="1553" w:type="dxa"/>
            <w:shd w:val="clear" w:color="auto" w:fill="7030A0"/>
          </w:tcPr>
          <w:p w14:paraId="03BA5B4A" w14:textId="77777777" w:rsidR="00E771A9" w:rsidRPr="002A7D65" w:rsidRDefault="00E771A9" w:rsidP="000C2595">
            <w:pPr>
              <w:ind w:firstLine="0"/>
              <w:rPr>
                <w:b/>
                <w:color w:val="FFFFFF" w:themeColor="background1"/>
              </w:rPr>
            </w:pPr>
            <w:r w:rsidRPr="002A7D65">
              <w:rPr>
                <w:b/>
                <w:color w:val="FFFFFF" w:themeColor="background1"/>
              </w:rPr>
              <w:t>Laika grafiks</w:t>
            </w:r>
          </w:p>
        </w:tc>
      </w:tr>
      <w:tr w:rsidR="00E771A9" w:rsidRPr="002A7D65" w14:paraId="42294C53" w14:textId="77777777" w:rsidTr="000C2595">
        <w:tc>
          <w:tcPr>
            <w:tcW w:w="988" w:type="dxa"/>
          </w:tcPr>
          <w:p w14:paraId="6024C826" w14:textId="77777777" w:rsidR="00E771A9" w:rsidRPr="002A7D65" w:rsidRDefault="00E771A9" w:rsidP="000C2595">
            <w:pPr>
              <w:ind w:firstLine="0"/>
              <w:rPr>
                <w:b/>
                <w:color w:val="7030A0"/>
              </w:rPr>
            </w:pPr>
            <w:r w:rsidRPr="002A7D65">
              <w:rPr>
                <w:b/>
                <w:color w:val="7030A0"/>
              </w:rPr>
              <w:t>1</w:t>
            </w:r>
          </w:p>
        </w:tc>
        <w:tc>
          <w:tcPr>
            <w:tcW w:w="5953" w:type="dxa"/>
          </w:tcPr>
          <w:p w14:paraId="7E1F3271" w14:textId="3D5456A3" w:rsidR="00E771A9" w:rsidRPr="002A7D65" w:rsidRDefault="00E771A9" w:rsidP="000C2595">
            <w:pPr>
              <w:ind w:firstLine="0"/>
            </w:pPr>
            <w:r w:rsidRPr="002A7D65">
              <w:t xml:space="preserve">Augstskolas institucionālā finansēšanas modeļa </w:t>
            </w:r>
            <w:proofErr w:type="spellStart"/>
            <w:r w:rsidRPr="002A7D65">
              <w:t>izmēģinājumprojekta</w:t>
            </w:r>
            <w:proofErr w:type="spellEnd"/>
            <w:r w:rsidRPr="002A7D65">
              <w:t xml:space="preserve"> īstenošana atbilstoši Augstskolu likuma pārejas noteikumu 99. punktam un Izglītības un zinātnes ministrijas noslēgtajam līgumam ar valsts augstskolu par noteikta skaita speciālistu sagatavošanu un citiem sasniedzamiem rādītājiem. Ar Ministru kabineta rīkojumu tiek apstiprinātas augstskolas 2024. un 2025. gados. Ar katru augstskolu tiek noslēgts līgums uz visu </w:t>
            </w:r>
            <w:proofErr w:type="spellStart"/>
            <w:r w:rsidRPr="002A7D65">
              <w:t>izmēģinājumprojekta</w:t>
            </w:r>
            <w:proofErr w:type="spellEnd"/>
            <w:r w:rsidRPr="002A7D65">
              <w:t xml:space="preserve"> periodu.</w:t>
            </w:r>
          </w:p>
        </w:tc>
        <w:tc>
          <w:tcPr>
            <w:tcW w:w="1553" w:type="dxa"/>
          </w:tcPr>
          <w:p w14:paraId="0DDF14B0" w14:textId="7276A57B" w:rsidR="00E771A9" w:rsidRPr="002A7D65" w:rsidRDefault="00EA38E9" w:rsidP="000C2595">
            <w:pPr>
              <w:ind w:firstLine="0"/>
            </w:pPr>
            <w:r w:rsidRPr="00FE0877">
              <w:t>Divu</w:t>
            </w:r>
            <w:r w:rsidR="00D262A0" w:rsidRPr="00FE0877">
              <w:t xml:space="preserve"> mēneš</w:t>
            </w:r>
            <w:r w:rsidRPr="00FE0877">
              <w:t>u</w:t>
            </w:r>
            <w:r w:rsidR="00D262A0">
              <w:t xml:space="preserve"> laikā kopš Ministru kabineta lēmuma par šī ziņojuma atbalstīšanu</w:t>
            </w:r>
            <w:r w:rsidR="00E771A9" w:rsidRPr="002A7D65">
              <w:t xml:space="preserve"> līdz 2026. gada 31. decembrim.</w:t>
            </w:r>
          </w:p>
        </w:tc>
      </w:tr>
      <w:tr w:rsidR="00E771A9" w:rsidRPr="002A7D65" w14:paraId="72C10BFB" w14:textId="77777777" w:rsidTr="000C2595">
        <w:tc>
          <w:tcPr>
            <w:tcW w:w="988" w:type="dxa"/>
          </w:tcPr>
          <w:p w14:paraId="4561E252" w14:textId="77777777" w:rsidR="00E771A9" w:rsidRPr="002A7D65" w:rsidRDefault="00E771A9" w:rsidP="000C2595">
            <w:pPr>
              <w:ind w:firstLine="0"/>
              <w:rPr>
                <w:b/>
                <w:color w:val="7030A0"/>
              </w:rPr>
            </w:pPr>
            <w:r w:rsidRPr="002A7D65">
              <w:rPr>
                <w:b/>
                <w:color w:val="7030A0"/>
              </w:rPr>
              <w:t>2</w:t>
            </w:r>
          </w:p>
        </w:tc>
        <w:tc>
          <w:tcPr>
            <w:tcW w:w="5953" w:type="dxa"/>
          </w:tcPr>
          <w:p w14:paraId="57343948" w14:textId="2B651748" w:rsidR="00E771A9" w:rsidRPr="002A7D65" w:rsidRDefault="00E771A9" w:rsidP="000C2595">
            <w:pPr>
              <w:ind w:firstLine="0"/>
            </w:pPr>
            <w:r w:rsidRPr="002A7D65">
              <w:t xml:space="preserve">Tiek piešķirts papildu zinātnes bāzes finansējums 5. milj. </w:t>
            </w:r>
            <w:r w:rsidR="00C16B07" w:rsidRPr="00C16B07">
              <w:rPr>
                <w:i/>
                <w:iCs/>
              </w:rPr>
              <w:t>euro</w:t>
            </w:r>
            <w:r w:rsidRPr="002A7D65">
              <w:t xml:space="preserve"> apmērā saskaņā ar 2022.gadā ieviesto regulējumu, palielinot snieguma finansējuma nozīmi </w:t>
            </w:r>
            <w:r w:rsidR="005401B3">
              <w:t>zinātnes</w:t>
            </w:r>
            <w:r w:rsidR="005401B3" w:rsidRPr="002A7D65">
              <w:t xml:space="preserve"> </w:t>
            </w:r>
            <w:r w:rsidRPr="002A7D65">
              <w:t>finansējumā.</w:t>
            </w:r>
          </w:p>
          <w:p w14:paraId="098662AA" w14:textId="77777777" w:rsidR="00E771A9" w:rsidRPr="002A7D65" w:rsidRDefault="00E771A9" w:rsidP="000C2595">
            <w:pPr>
              <w:ind w:firstLine="0"/>
            </w:pPr>
          </w:p>
        </w:tc>
        <w:tc>
          <w:tcPr>
            <w:tcW w:w="1553" w:type="dxa"/>
          </w:tcPr>
          <w:p w14:paraId="0383CFA1" w14:textId="3B6053F9" w:rsidR="00E771A9" w:rsidRPr="002A7D65" w:rsidRDefault="00E771A9" w:rsidP="000C2595">
            <w:pPr>
              <w:ind w:firstLine="0"/>
            </w:pPr>
            <w:r w:rsidRPr="002A7D65">
              <w:t xml:space="preserve">2024.gada </w:t>
            </w:r>
            <w:r w:rsidR="00F55C25">
              <w:t>3</w:t>
            </w:r>
            <w:r w:rsidRPr="002A7D65">
              <w:t>.ceturksnis</w:t>
            </w:r>
          </w:p>
        </w:tc>
      </w:tr>
      <w:tr w:rsidR="00E771A9" w:rsidRPr="002A7D65" w14:paraId="32650880" w14:textId="77777777" w:rsidTr="000C2595">
        <w:tc>
          <w:tcPr>
            <w:tcW w:w="988" w:type="dxa"/>
          </w:tcPr>
          <w:p w14:paraId="72F59ABC" w14:textId="77777777" w:rsidR="00E771A9" w:rsidRPr="002A7D65" w:rsidRDefault="00E771A9" w:rsidP="000C2595">
            <w:pPr>
              <w:ind w:firstLine="0"/>
              <w:rPr>
                <w:b/>
                <w:color w:val="7030A0"/>
              </w:rPr>
            </w:pPr>
            <w:r w:rsidRPr="002A7D65">
              <w:rPr>
                <w:b/>
                <w:color w:val="7030A0"/>
              </w:rPr>
              <w:t>3</w:t>
            </w:r>
          </w:p>
        </w:tc>
        <w:tc>
          <w:tcPr>
            <w:tcW w:w="5953" w:type="dxa"/>
          </w:tcPr>
          <w:p w14:paraId="533E168E" w14:textId="52B9E9C8" w:rsidR="00E771A9" w:rsidRPr="002A7D65" w:rsidRDefault="00E771A9" w:rsidP="000C2595">
            <w:pPr>
              <w:ind w:firstLine="0"/>
            </w:pPr>
            <w:r w:rsidRPr="002A7D65">
              <w:t xml:space="preserve">Tiks </w:t>
            </w:r>
            <w:r w:rsidR="0078663F">
              <w:t xml:space="preserve">palielināts snieguma finansējums par absolventiem, </w:t>
            </w:r>
            <w:r w:rsidRPr="002A7D65">
              <w:t xml:space="preserve">grozot Ministru kabineta 2006. gada 12. decembra noteikumus Nr. 994 “Kārtība, kādā augstskolas un koledžas tiek finansētas no valsts budžeta līdzekļiem”, ievērojot ziņojumā ietvertus principus, ar papildu finansējumu 6 milj. </w:t>
            </w:r>
            <w:r w:rsidR="00C16B07" w:rsidRPr="00C16B07">
              <w:rPr>
                <w:i/>
                <w:iCs/>
              </w:rPr>
              <w:t>euro</w:t>
            </w:r>
          </w:p>
          <w:p w14:paraId="0FF433F5" w14:textId="77777777" w:rsidR="00E771A9" w:rsidRPr="002A7D65" w:rsidRDefault="00E771A9" w:rsidP="000C2595">
            <w:pPr>
              <w:ind w:firstLine="0"/>
            </w:pPr>
          </w:p>
        </w:tc>
        <w:tc>
          <w:tcPr>
            <w:tcW w:w="1553" w:type="dxa"/>
          </w:tcPr>
          <w:p w14:paraId="267A06D6" w14:textId="13B2AD9C" w:rsidR="00E771A9" w:rsidRPr="002A7D65" w:rsidRDefault="00E771A9" w:rsidP="000C2595">
            <w:pPr>
              <w:ind w:firstLine="0"/>
            </w:pPr>
            <w:r w:rsidRPr="002A7D65">
              <w:t xml:space="preserve">2024.gada </w:t>
            </w:r>
            <w:r w:rsidR="00F55C25">
              <w:t>3</w:t>
            </w:r>
            <w:r w:rsidRPr="002A7D65">
              <w:t>.ceturksnis</w:t>
            </w:r>
          </w:p>
        </w:tc>
      </w:tr>
      <w:tr w:rsidR="00E771A9" w:rsidRPr="002A7D65" w14:paraId="00F0795B" w14:textId="77777777" w:rsidTr="000C2595">
        <w:tc>
          <w:tcPr>
            <w:tcW w:w="988" w:type="dxa"/>
          </w:tcPr>
          <w:p w14:paraId="6903D849" w14:textId="77777777" w:rsidR="00E771A9" w:rsidRPr="002A7D65" w:rsidRDefault="00E771A9" w:rsidP="000C2595">
            <w:pPr>
              <w:ind w:firstLine="0"/>
              <w:rPr>
                <w:b/>
                <w:color w:val="7030A0"/>
              </w:rPr>
            </w:pPr>
            <w:r w:rsidRPr="002A7D65">
              <w:rPr>
                <w:b/>
                <w:color w:val="7030A0"/>
              </w:rPr>
              <w:t xml:space="preserve">4 </w:t>
            </w:r>
          </w:p>
        </w:tc>
        <w:tc>
          <w:tcPr>
            <w:tcW w:w="5953" w:type="dxa"/>
          </w:tcPr>
          <w:p w14:paraId="538D54CA" w14:textId="77777777" w:rsidR="00E771A9" w:rsidRPr="002A7D65" w:rsidRDefault="00E771A9" w:rsidP="000C2595">
            <w:pPr>
              <w:ind w:firstLine="0"/>
            </w:pPr>
            <w:r w:rsidRPr="002A7D65">
              <w:t xml:space="preserve">Tiks uzsākts </w:t>
            </w:r>
            <w:proofErr w:type="spellStart"/>
            <w:r w:rsidRPr="002A7D65">
              <w:t>mikrokvalifikāciju</w:t>
            </w:r>
            <w:proofErr w:type="spellEnd"/>
            <w:r w:rsidRPr="002A7D65">
              <w:t xml:space="preserve"> </w:t>
            </w:r>
            <w:proofErr w:type="spellStart"/>
            <w:r w:rsidRPr="002A7D65">
              <w:t>izmēģinājumprojekts</w:t>
            </w:r>
            <w:proofErr w:type="spellEnd"/>
          </w:p>
          <w:p w14:paraId="6FFAB547" w14:textId="77777777" w:rsidR="00E771A9" w:rsidRPr="002A7D65" w:rsidRDefault="00E771A9" w:rsidP="000C2595">
            <w:pPr>
              <w:ind w:firstLine="0"/>
            </w:pPr>
          </w:p>
        </w:tc>
        <w:tc>
          <w:tcPr>
            <w:tcW w:w="1553" w:type="dxa"/>
          </w:tcPr>
          <w:p w14:paraId="00095437" w14:textId="46061E07" w:rsidR="00E771A9" w:rsidRPr="002A7D65" w:rsidRDefault="00E771A9" w:rsidP="000C2595">
            <w:pPr>
              <w:ind w:firstLine="0"/>
            </w:pPr>
            <w:r w:rsidRPr="002A7D65">
              <w:t xml:space="preserve">2024.gada </w:t>
            </w:r>
            <w:r w:rsidR="00F55C25">
              <w:t>3</w:t>
            </w:r>
            <w:r w:rsidRPr="002A7D65">
              <w:t>.ceturksnis</w:t>
            </w:r>
          </w:p>
        </w:tc>
      </w:tr>
      <w:tr w:rsidR="0085340B" w:rsidRPr="002A7D65" w14:paraId="3A6BDBBF" w14:textId="77777777" w:rsidTr="000C2595">
        <w:tc>
          <w:tcPr>
            <w:tcW w:w="988" w:type="dxa"/>
          </w:tcPr>
          <w:p w14:paraId="44EC27E6" w14:textId="240EB3B4" w:rsidR="0085340B" w:rsidRDefault="000C0D6B" w:rsidP="000C2595">
            <w:pPr>
              <w:ind w:firstLine="0"/>
              <w:rPr>
                <w:b/>
                <w:color w:val="7030A0"/>
              </w:rPr>
            </w:pPr>
            <w:r>
              <w:rPr>
                <w:b/>
                <w:color w:val="7030A0"/>
              </w:rPr>
              <w:lastRenderedPageBreak/>
              <w:t>5</w:t>
            </w:r>
          </w:p>
        </w:tc>
        <w:tc>
          <w:tcPr>
            <w:tcW w:w="5953" w:type="dxa"/>
          </w:tcPr>
          <w:p w14:paraId="32C38B15" w14:textId="55EBF509" w:rsidR="0085340B" w:rsidRPr="002A7D65" w:rsidRDefault="00917D2A" w:rsidP="000C2595">
            <w:pPr>
              <w:ind w:firstLine="0"/>
            </w:pPr>
            <w:r>
              <w:t>IZM iesniedz Ministru kabinetā</w:t>
            </w:r>
            <w:r w:rsidRPr="00917D2A">
              <w:t xml:space="preserve"> informatīvo ziņojumu par augstskolu institucionālās finansēšanas modeļa </w:t>
            </w:r>
            <w:proofErr w:type="spellStart"/>
            <w:r w:rsidRPr="00917D2A">
              <w:t>izmēģinājumprojekta</w:t>
            </w:r>
            <w:proofErr w:type="spellEnd"/>
            <w:r w:rsidRPr="00917D2A">
              <w:t xml:space="preserve"> rezultātiem un turpmāko institucionālā finansēšanas modeļa īstenošanu.</w:t>
            </w:r>
          </w:p>
        </w:tc>
        <w:tc>
          <w:tcPr>
            <w:tcW w:w="1553" w:type="dxa"/>
          </w:tcPr>
          <w:p w14:paraId="12BB6705" w14:textId="7F462083" w:rsidR="0085340B" w:rsidRPr="002A7D65" w:rsidRDefault="00241604" w:rsidP="000C2595">
            <w:pPr>
              <w:ind w:firstLine="0"/>
            </w:pPr>
            <w:r>
              <w:t xml:space="preserve">Līdz 2025. gada </w:t>
            </w:r>
            <w:r w:rsidR="00EA38E9">
              <w:t>30. jūnijam</w:t>
            </w:r>
          </w:p>
        </w:tc>
      </w:tr>
      <w:tr w:rsidR="00E771A9" w:rsidRPr="002A7D65" w14:paraId="2E74EDD0" w14:textId="77777777" w:rsidTr="000C2595">
        <w:tc>
          <w:tcPr>
            <w:tcW w:w="988" w:type="dxa"/>
          </w:tcPr>
          <w:p w14:paraId="246C5474" w14:textId="5002D47A" w:rsidR="00E771A9" w:rsidRPr="002A7D65" w:rsidRDefault="001C11E4" w:rsidP="000C2595">
            <w:pPr>
              <w:ind w:firstLine="0"/>
              <w:rPr>
                <w:b/>
                <w:color w:val="7030A0"/>
              </w:rPr>
            </w:pPr>
            <w:r>
              <w:rPr>
                <w:b/>
                <w:color w:val="7030A0"/>
              </w:rPr>
              <w:t>6</w:t>
            </w:r>
          </w:p>
        </w:tc>
        <w:tc>
          <w:tcPr>
            <w:tcW w:w="5953" w:type="dxa"/>
          </w:tcPr>
          <w:p w14:paraId="6AF0B6B4" w14:textId="77777777" w:rsidR="00E771A9" w:rsidRPr="002A7D65" w:rsidRDefault="00E771A9" w:rsidP="000C2595">
            <w:pPr>
              <w:ind w:firstLine="0"/>
            </w:pPr>
            <w:r w:rsidRPr="002A7D65">
              <w:t>IZM izvērtēt, sagatavot un izglītības un zinātnes ministram noteiktā kārtībā iesniegt izskatīšanai Ministru kabinetā  normatīvo aktu projektus:</w:t>
            </w:r>
          </w:p>
          <w:p w14:paraId="2F9E0E61" w14:textId="77777777" w:rsidR="00E771A9" w:rsidRPr="002A7D65" w:rsidRDefault="00E771A9" w:rsidP="000C2595">
            <w:pPr>
              <w:ind w:firstLine="0"/>
            </w:pPr>
          </w:p>
          <w:p w14:paraId="5D9A63CC" w14:textId="77777777" w:rsidR="00E771A9" w:rsidRPr="002A7D65" w:rsidRDefault="00E771A9" w:rsidP="000C2595">
            <w:pPr>
              <w:ind w:firstLine="0"/>
            </w:pPr>
            <w:r w:rsidRPr="002A7D65">
              <w:t>1) Augstskolu likumā:</w:t>
            </w:r>
          </w:p>
          <w:p w14:paraId="06F36AAB" w14:textId="77777777" w:rsidR="00E771A9" w:rsidRPr="002A7D65" w:rsidRDefault="00E771A9" w:rsidP="000C2595">
            <w:pPr>
              <w:ind w:firstLine="0"/>
            </w:pPr>
            <w:r w:rsidRPr="002A7D65">
              <w:t>a) Paredzot jaunu augstākās izglītības finansēšanas modeli, kas ietver pārejas posmu;</w:t>
            </w:r>
          </w:p>
          <w:p w14:paraId="6B9C3F67" w14:textId="773F3062" w:rsidR="00E771A9" w:rsidRDefault="00902F73" w:rsidP="000C2595">
            <w:pPr>
              <w:ind w:firstLine="0"/>
            </w:pPr>
            <w:r>
              <w:t>b</w:t>
            </w:r>
            <w:r w:rsidR="00E771A9" w:rsidRPr="002A7D65">
              <w:t>) Paredzot vienoto studējošo aptauju.</w:t>
            </w:r>
          </w:p>
          <w:p w14:paraId="00AC87EA" w14:textId="77777777" w:rsidR="00902F73" w:rsidRPr="002A7D65" w:rsidRDefault="00902F73" w:rsidP="000C2595">
            <w:pPr>
              <w:ind w:firstLine="0"/>
            </w:pPr>
          </w:p>
          <w:p w14:paraId="7F40E05C" w14:textId="4F9011B0" w:rsidR="00902F73" w:rsidRPr="002A7D65" w:rsidRDefault="00902F73" w:rsidP="00902F73">
            <w:pPr>
              <w:ind w:firstLine="0"/>
            </w:pPr>
            <w:r>
              <w:t>2</w:t>
            </w:r>
            <w:r w:rsidRPr="002A7D65">
              <w:t>)</w:t>
            </w:r>
            <w:r>
              <w:t xml:space="preserve"> Profesionālās izglītības likumā</w:t>
            </w:r>
            <w:r w:rsidRPr="002A7D65">
              <w:t>:</w:t>
            </w:r>
          </w:p>
          <w:p w14:paraId="5F3BF751" w14:textId="79239260" w:rsidR="00902F73" w:rsidRPr="002A7D65" w:rsidRDefault="00902F73" w:rsidP="00902F73">
            <w:pPr>
              <w:ind w:firstLine="0"/>
            </w:pPr>
            <w:r w:rsidRPr="002A7D65">
              <w:t>a) Paredzot jaunu augstākās izglītības finansēšanas modeli</w:t>
            </w:r>
            <w:r w:rsidR="009E1B51">
              <w:t xml:space="preserve"> koledžām</w:t>
            </w:r>
            <w:r w:rsidR="00D929C4">
              <w:t>.</w:t>
            </w:r>
          </w:p>
          <w:p w14:paraId="6439473B" w14:textId="77777777" w:rsidR="00E771A9" w:rsidRPr="002A7D65" w:rsidRDefault="00E771A9" w:rsidP="000C2595">
            <w:pPr>
              <w:ind w:firstLine="0"/>
            </w:pPr>
          </w:p>
          <w:p w14:paraId="046E832C" w14:textId="77777777" w:rsidR="00E771A9" w:rsidRPr="002A7D65" w:rsidRDefault="00E771A9" w:rsidP="000C2595">
            <w:pPr>
              <w:ind w:firstLine="0"/>
            </w:pPr>
            <w:r w:rsidRPr="002A7D65">
              <w:t>2) Izglītības likumā un Profesionālās izglītības likumā, nodrošinot tiesību sistēmas vienotību un paredzot institucionālā finansējuma piešķiršanu koledžām.</w:t>
            </w:r>
          </w:p>
          <w:p w14:paraId="1EAACF35" w14:textId="77777777" w:rsidR="00E771A9" w:rsidRPr="002A7D65" w:rsidRDefault="00E771A9" w:rsidP="000C2595">
            <w:pPr>
              <w:ind w:firstLine="0"/>
            </w:pPr>
          </w:p>
          <w:p w14:paraId="19DBDBC7" w14:textId="77777777" w:rsidR="00E771A9" w:rsidRPr="002A7D65" w:rsidRDefault="00E771A9" w:rsidP="000C2595">
            <w:pPr>
              <w:ind w:firstLine="0"/>
            </w:pPr>
            <w:r w:rsidRPr="002A7D65">
              <w:t>3) jaunu redakciju Ministru kabineta 2006. gada 12. decembra noteikumiem Nr. 994 “Kārtība, kādā augstskolas un koledžas tiek finansētas no valsts budžeta līdzekļiem”, ievērojot ziņojumā ietverto risinājumus;</w:t>
            </w:r>
          </w:p>
          <w:p w14:paraId="5D3C7533" w14:textId="77777777" w:rsidR="00E771A9" w:rsidRPr="002A7D65" w:rsidRDefault="00E771A9" w:rsidP="000C2595">
            <w:pPr>
              <w:ind w:firstLine="0"/>
            </w:pPr>
          </w:p>
          <w:p w14:paraId="21FC1E13" w14:textId="7195A8B2" w:rsidR="00E771A9" w:rsidRPr="002A7D65" w:rsidRDefault="002B2D9A" w:rsidP="000C2595">
            <w:pPr>
              <w:ind w:firstLine="0"/>
            </w:pPr>
            <w:r>
              <w:t>4</w:t>
            </w:r>
            <w:r w:rsidR="00E771A9" w:rsidRPr="002A7D65">
              <w:t>) grozījumus Ministru kabineta 2019. gada 25. jūnija noteikumos Nr. 276 “Valsts izglītības informācijas sistēmas noteikumi”, paredzot jaunas datu kopas, kas tiks integrētas VIIS.</w:t>
            </w:r>
          </w:p>
          <w:p w14:paraId="77EEB21C" w14:textId="67ABC44B" w:rsidR="00E771A9" w:rsidRPr="002A7D65" w:rsidRDefault="00E771A9" w:rsidP="002B2D9A">
            <w:pPr>
              <w:ind w:firstLine="0"/>
            </w:pPr>
          </w:p>
        </w:tc>
        <w:tc>
          <w:tcPr>
            <w:tcW w:w="1553" w:type="dxa"/>
          </w:tcPr>
          <w:p w14:paraId="1B33D4BC" w14:textId="77777777" w:rsidR="00E771A9" w:rsidRPr="002A7D65" w:rsidRDefault="00E771A9" w:rsidP="000C2595">
            <w:pPr>
              <w:ind w:firstLine="0"/>
            </w:pPr>
            <w:r w:rsidRPr="002A7D65">
              <w:lastRenderedPageBreak/>
              <w:t>Līdz 2025. gada vidum</w:t>
            </w:r>
          </w:p>
        </w:tc>
      </w:tr>
      <w:tr w:rsidR="00E771A9" w:rsidRPr="002A7D65" w14:paraId="7957A8CA" w14:textId="77777777" w:rsidTr="000C2595">
        <w:tc>
          <w:tcPr>
            <w:tcW w:w="988" w:type="dxa"/>
          </w:tcPr>
          <w:p w14:paraId="56D42345" w14:textId="5A8E208A" w:rsidR="00E771A9" w:rsidRPr="002A7D65" w:rsidRDefault="000C0D6B" w:rsidP="000C2595">
            <w:pPr>
              <w:ind w:firstLine="0"/>
              <w:rPr>
                <w:b/>
                <w:color w:val="7030A0"/>
              </w:rPr>
            </w:pPr>
            <w:r>
              <w:rPr>
                <w:b/>
                <w:color w:val="7030A0"/>
              </w:rPr>
              <w:t>7</w:t>
            </w:r>
          </w:p>
        </w:tc>
        <w:tc>
          <w:tcPr>
            <w:tcW w:w="5953" w:type="dxa"/>
          </w:tcPr>
          <w:p w14:paraId="2359FEB0" w14:textId="11E59A69" w:rsidR="00E771A9" w:rsidRPr="002A7D65" w:rsidRDefault="00E771A9" w:rsidP="000C2595">
            <w:pPr>
              <w:ind w:firstLine="0"/>
            </w:pPr>
            <w:r w:rsidRPr="002A7D65">
              <w:t>IZM sniedz finansējumu</w:t>
            </w:r>
            <w:r w:rsidR="00DC673B">
              <w:t xml:space="preserve"> visām</w:t>
            </w:r>
            <w:r w:rsidR="00F23D10">
              <w:t xml:space="preserve"> valsts</w:t>
            </w:r>
            <w:r w:rsidRPr="002A7D65">
              <w:t xml:space="preserve"> augstākās izglītības iestādēm pēc institucionālā finansējuma principiem, noslēgti līgumi ar augstākās izglītības iestādēm</w:t>
            </w:r>
          </w:p>
        </w:tc>
        <w:tc>
          <w:tcPr>
            <w:tcW w:w="1553" w:type="dxa"/>
          </w:tcPr>
          <w:p w14:paraId="4E8C59A3" w14:textId="77777777" w:rsidR="00E771A9" w:rsidRPr="002A7D65" w:rsidRDefault="00E771A9" w:rsidP="000C2595">
            <w:pPr>
              <w:ind w:firstLine="0"/>
            </w:pPr>
            <w:r w:rsidRPr="002A7D65">
              <w:t>2026. gada sākums</w:t>
            </w:r>
          </w:p>
        </w:tc>
      </w:tr>
    </w:tbl>
    <w:p w14:paraId="3D7E2410" w14:textId="77777777" w:rsidR="00E771A9" w:rsidRPr="002A7D65" w:rsidRDefault="00E771A9" w:rsidP="00E771A9"/>
    <w:p w14:paraId="2B3A3FDF" w14:textId="77777777" w:rsidR="00E771A9" w:rsidRPr="002A7D65" w:rsidRDefault="00E771A9" w:rsidP="00E771A9">
      <w:pPr>
        <w:spacing w:after="160"/>
        <w:ind w:firstLine="0"/>
        <w:jc w:val="left"/>
      </w:pPr>
    </w:p>
    <w:p w14:paraId="74B1217B" w14:textId="77777777" w:rsidR="00E771A9" w:rsidRPr="002A7D65" w:rsidRDefault="00E771A9" w:rsidP="00E771A9">
      <w:pPr>
        <w:spacing w:after="160"/>
        <w:ind w:firstLine="0"/>
        <w:jc w:val="left"/>
      </w:pPr>
    </w:p>
    <w:p w14:paraId="4A5E52DC" w14:textId="77777777" w:rsidR="00E771A9" w:rsidRPr="002A7D65" w:rsidRDefault="00E771A9" w:rsidP="00E771A9">
      <w:pPr>
        <w:spacing w:line="240" w:lineRule="auto"/>
        <w:ind w:firstLine="0"/>
        <w:jc w:val="left"/>
      </w:pPr>
      <w:r w:rsidRPr="002A7D65">
        <w:t>A.Zvaigzne</w:t>
      </w:r>
    </w:p>
    <w:p w14:paraId="1F9DA069" w14:textId="77777777" w:rsidR="00E771A9" w:rsidRPr="002A7D65" w:rsidRDefault="00763C03" w:rsidP="00E771A9">
      <w:pPr>
        <w:spacing w:line="240" w:lineRule="auto"/>
        <w:ind w:firstLine="0"/>
        <w:jc w:val="left"/>
      </w:pPr>
      <w:hyperlink r:id="rId19" w:history="1">
        <w:r w:rsidR="00E771A9" w:rsidRPr="002A7D65">
          <w:rPr>
            <w:rStyle w:val="Hyperlink"/>
          </w:rPr>
          <w:t>Arkadijs.zvaigzne@izm.gov.lv</w:t>
        </w:r>
      </w:hyperlink>
    </w:p>
    <w:p w14:paraId="7D1F917D" w14:textId="77777777" w:rsidR="00E771A9" w:rsidRPr="002A7D65" w:rsidRDefault="00E771A9" w:rsidP="00E771A9">
      <w:pPr>
        <w:spacing w:line="240" w:lineRule="auto"/>
        <w:ind w:firstLine="0"/>
        <w:jc w:val="left"/>
      </w:pPr>
      <w:proofErr w:type="spellStart"/>
      <w:r w:rsidRPr="002A7D65">
        <w:t>D.Laipniece</w:t>
      </w:r>
      <w:proofErr w:type="spellEnd"/>
    </w:p>
    <w:p w14:paraId="3F1D7533" w14:textId="77777777" w:rsidR="00E771A9" w:rsidRPr="002A7D65" w:rsidRDefault="00763C03" w:rsidP="00E771A9">
      <w:pPr>
        <w:spacing w:line="240" w:lineRule="auto"/>
        <w:ind w:firstLine="0"/>
        <w:jc w:val="left"/>
      </w:pPr>
      <w:hyperlink r:id="rId20" w:history="1">
        <w:r w:rsidR="00E771A9" w:rsidRPr="002A7D65">
          <w:rPr>
            <w:rStyle w:val="Hyperlink"/>
          </w:rPr>
          <w:t>Diana.laipniece@izm.gov.lv</w:t>
        </w:r>
      </w:hyperlink>
      <w:r w:rsidR="00E771A9" w:rsidRPr="002A7D65">
        <w:t xml:space="preserve"> </w:t>
      </w:r>
    </w:p>
    <w:p w14:paraId="68260B0E" w14:textId="77777777" w:rsidR="00E771A9" w:rsidRPr="002A7D65" w:rsidRDefault="00E771A9" w:rsidP="00E771A9">
      <w:pPr>
        <w:spacing w:after="160"/>
        <w:ind w:firstLine="0"/>
        <w:jc w:val="left"/>
      </w:pPr>
      <w:r w:rsidRPr="002A7D65">
        <w:br w:type="page"/>
      </w:r>
    </w:p>
    <w:p w14:paraId="1682F6A6" w14:textId="77777777" w:rsidR="00E771A9" w:rsidRPr="002A7D65" w:rsidRDefault="00E771A9" w:rsidP="00E771A9">
      <w:pPr>
        <w:pStyle w:val="Heading1"/>
      </w:pPr>
      <w:bookmarkStart w:id="38" w:name="_Toc167452338"/>
      <w:r w:rsidRPr="002A7D65">
        <w:lastRenderedPageBreak/>
        <w:t>Pielikumi</w:t>
      </w:r>
      <w:bookmarkEnd w:id="38"/>
    </w:p>
    <w:p w14:paraId="393CFA9F" w14:textId="77777777" w:rsidR="00E771A9" w:rsidRPr="002A7D65" w:rsidRDefault="00E771A9" w:rsidP="003F615E">
      <w:pPr>
        <w:pStyle w:val="Heading2"/>
        <w:numPr>
          <w:ilvl w:val="0"/>
          <w:numId w:val="24"/>
        </w:numPr>
      </w:pPr>
      <w:bookmarkStart w:id="39" w:name="_Toc108618661"/>
      <w:bookmarkStart w:id="40" w:name="_Toc159325074"/>
      <w:bookmarkStart w:id="41" w:name="_Toc159577422"/>
      <w:bookmarkStart w:id="42" w:name="_Toc160457594"/>
      <w:bookmarkStart w:id="43" w:name="_Toc167452339"/>
      <w:r w:rsidRPr="002A7D65">
        <w:t>Augstākās izglītības finansēšana dažādās pasaules valstīs</w:t>
      </w:r>
      <w:bookmarkEnd w:id="39"/>
      <w:bookmarkEnd w:id="40"/>
      <w:bookmarkEnd w:id="41"/>
      <w:bookmarkEnd w:id="42"/>
      <w:bookmarkEnd w:id="43"/>
    </w:p>
    <w:p w14:paraId="73678811" w14:textId="77777777" w:rsidR="00E771A9" w:rsidRPr="002A7D65" w:rsidRDefault="00E771A9" w:rsidP="00E771A9">
      <w:pPr>
        <w:ind w:firstLine="0"/>
        <w:rPr>
          <w:i/>
          <w:iCs/>
        </w:rPr>
      </w:pPr>
      <w:r w:rsidRPr="002A7D65">
        <w:rPr>
          <w:i/>
          <w:iCs/>
        </w:rPr>
        <w:t xml:space="preserve">Sadaļai par pamatu ņemts Saeimai veiktais </w:t>
      </w:r>
      <w:proofErr w:type="spellStart"/>
      <w:r w:rsidRPr="002A7D65">
        <w:rPr>
          <w:i/>
          <w:iCs/>
        </w:rPr>
        <w:t>Dynamic</w:t>
      </w:r>
      <w:proofErr w:type="spellEnd"/>
      <w:r w:rsidRPr="002A7D65">
        <w:rPr>
          <w:i/>
          <w:iCs/>
        </w:rPr>
        <w:t xml:space="preserve"> </w:t>
      </w:r>
      <w:proofErr w:type="spellStart"/>
      <w:r w:rsidRPr="002A7D65">
        <w:rPr>
          <w:i/>
          <w:iCs/>
        </w:rPr>
        <w:t>University</w:t>
      </w:r>
      <w:proofErr w:type="spellEnd"/>
      <w:r w:rsidRPr="002A7D65">
        <w:rPr>
          <w:i/>
          <w:iCs/>
        </w:rPr>
        <w:t xml:space="preserve"> pētījums “Igaunijas un Ziemeļvalstu pieredze bezmaksas augstākās izglītības ieviešanā”</w:t>
      </w:r>
    </w:p>
    <w:p w14:paraId="65DBDA00" w14:textId="77777777" w:rsidR="00E771A9" w:rsidRPr="002A7D65" w:rsidRDefault="00E771A9" w:rsidP="00E771A9">
      <w:pPr>
        <w:ind w:firstLine="0"/>
      </w:pPr>
    </w:p>
    <w:p w14:paraId="3E472C82" w14:textId="77777777" w:rsidR="00E771A9" w:rsidRPr="002A7D65" w:rsidRDefault="00E771A9" w:rsidP="00E771A9">
      <w:r w:rsidRPr="002A7D65">
        <w:t xml:space="preserve">Lai gan augstākās izglītības sistēmās mēdz būt noteikta studiju maksa, kas studējošajiem ir jāmaksā, nereti vienlaikus tiek veidotas studējošo finansiālā atbalsta sistēmas, kuru mērķis ir diferencēt faktiskās studēšanas izmaksas. </w:t>
      </w:r>
    </w:p>
    <w:p w14:paraId="4B835064" w14:textId="77777777" w:rsidR="00E771A9" w:rsidRPr="002A7D65" w:rsidRDefault="00E771A9" w:rsidP="00E771A9">
      <w:r w:rsidRPr="002A7D65">
        <w:t xml:space="preserve"> Tāpat pastāv vairāki finansiālā atbalsta veidi. Vispopulārākā atbalsta sistēma Eiropas Augstākās izglītības telpā ir stipendijas studējošajiem (41 sistēmās), bet otrā vietā ir kreditēšanas sistēma (28 sistēmas). Dažās valstīs pastāv atbalsts studējošo vecākiem caur nodokļu atlaidēm (22 sistēmas)</w:t>
      </w:r>
      <w:r w:rsidRPr="002A7D65">
        <w:rPr>
          <w:rStyle w:val="FootnoteReference"/>
        </w:rPr>
        <w:footnoteReference w:id="38"/>
      </w:r>
      <w:r w:rsidRPr="002A7D65">
        <w:t xml:space="preserve">. </w:t>
      </w:r>
    </w:p>
    <w:p w14:paraId="07AFEC04" w14:textId="77777777" w:rsidR="00E771A9" w:rsidRPr="002A7D65" w:rsidRDefault="00E771A9" w:rsidP="00E771A9">
      <w:r w:rsidRPr="002A7D65">
        <w:t>Stipendiju piešķiršanai ir iespējams izmantot dažādus kritērijus, kas visbiežāk tiek iedalīti divās grupās – balstoties uz studējošo akadēmiskiem sasniegumiem vai balstoties uz studējošo vajadzībām. Eiropas Augstākās izglītības telpā visbiežāk (32 sistēmās) stipendijas tiek piešķirtas balstoties uz studējošo vajadzībām, ņemot vērā sociālekonomisko stāvokli, un 22 sistēmās pastāv stipendijas, kas tiek piešķirtas balstoties uz studējošo akadēmisko sniegumu. Kopumā stipendijas balstoties uz studējošo vajadzībām palielina augstākās izglītības pieejamību valstī, bet pēc akadēmiskajiem sniegumiem to pat nedaudz samazina</w:t>
      </w:r>
      <w:r w:rsidRPr="002A7D65">
        <w:rPr>
          <w:rStyle w:val="FootnoteReference"/>
        </w:rPr>
        <w:footnoteReference w:id="39"/>
      </w:r>
      <w:r w:rsidRPr="002A7D65">
        <w:t>.</w:t>
      </w:r>
    </w:p>
    <w:p w14:paraId="02FE0736" w14:textId="77777777" w:rsidR="00E771A9" w:rsidRPr="002A7D65" w:rsidRDefault="00E771A9" w:rsidP="00E771A9">
      <w:r w:rsidRPr="002A7D65">
        <w:t>Paralēli pastāv arī risinājumi, kas faktiski apvieno dažādas pieejas. Tā, piemēram, ASV pastāv TEACH stipendija, kas ir paredzēta  kā atbalsts indivīdiem kļūt par skolotājiem. Tomēr, ja indivīds pēc absolvēšanas nestrādā par pieprasīta priekšmeta skolotāju skolā, kurā mācās mazturīgi studenti, tad stipendija pārvēršas par kredītu, kas ir jāatmaksā</w:t>
      </w:r>
      <w:r w:rsidRPr="002A7D65">
        <w:rPr>
          <w:rStyle w:val="FootnoteReference"/>
        </w:rPr>
        <w:footnoteReference w:id="40"/>
      </w:r>
      <w:r w:rsidRPr="002A7D65">
        <w:t xml:space="preserve">.  Tomēr, izvērtējot šo programmu, ASV valdība ir secinājusi, ka stipendiju saņēmēji nereti paši pārvērtē savas spējas izpildīt prasības, kā rezultātā 63% no saņēmējiem nebija spējīgi to izpildīt. </w:t>
      </w:r>
    </w:p>
    <w:p w14:paraId="6667471B" w14:textId="77777777" w:rsidR="00E771A9" w:rsidRPr="002A7D65" w:rsidRDefault="00E771A9" w:rsidP="00E771A9">
      <w:r w:rsidRPr="002A7D65">
        <w:t xml:space="preserve">Tāpat arī ir iespējams otrāds risinājums, kura ietvaros kredīts tiek faktiski pēc fakta padarīts par stipendiju. Šāda veida risinājums pastāv Apvienotajā karalistē, kur gandrīz visi studējošie izmanto valsts izsniegto kredītu iespējas. Šie kredīti ir ar īpatnēju atmaksas kārtību- studējošie sāk atmaksāt kredītu tikai tad, kad sasniedz noteiktu ienākumu slieksni- kad sāk pelnīt virs 25 000 mārciņām gadā, un tie katru mēnesi maksā </w:t>
      </w:r>
      <w:r w:rsidRPr="002A7D65">
        <w:lastRenderedPageBreak/>
        <w:t>noteiktu procentu no saviem ienākumiem. Ja 30 gadu laikā pēc absolvēšanas kredītņēmējs nav atmaksājis kredītu, atlikumu dzēš valsts. Balstoties uz šo, tiek lēsts, ka 83% no visiem absolventiem neatmaksā savus kredītus pilnībā</w:t>
      </w:r>
      <w:r w:rsidRPr="002A7D65">
        <w:rPr>
          <w:rStyle w:val="FootnoteReference"/>
        </w:rPr>
        <w:footnoteReference w:id="41"/>
      </w:r>
      <w:r w:rsidRPr="002A7D65">
        <w:t xml:space="preserve">. </w:t>
      </w:r>
    </w:p>
    <w:p w14:paraId="231FC243" w14:textId="77777777" w:rsidR="00E771A9" w:rsidRPr="002A7D65" w:rsidRDefault="00E771A9" w:rsidP="00E771A9">
      <w:r w:rsidRPr="002A7D65">
        <w:t xml:space="preserve">Kopumā Eiropā izmanto dažādas kombinācijas ar minētiem elementiem. Piemēram, Skandināvijā piedāvā gan stipendijas, gan arī kredītus dzīvošanas izmaksas segšanai. Piemēram, Zviedrija, neskatoties uz pilnībā valsts dotēto augstāko izglītību, ir valsts, kurā ievērojama daļa izmanto studējošo kredītus dzīvošanas izmaksu segšanai studiju laikā. Savukārt Francijā un Vācijā galvenokārt balstās stipendijās, kas tiek papildinātas ar netiešo atbalstu studējošajiem, piemēram, dotējot ēdināšanas un izmitināšanas izmaksas. </w:t>
      </w:r>
    </w:p>
    <w:p w14:paraId="146C3A97" w14:textId="77777777" w:rsidR="00E771A9" w:rsidRPr="002A7D65" w:rsidRDefault="00E771A9" w:rsidP="00E771A9">
      <w:pPr>
        <w:tabs>
          <w:tab w:val="left" w:pos="3105"/>
        </w:tabs>
      </w:pPr>
      <w:r w:rsidRPr="002A7D65">
        <w:t>Kopumā, salīdzinot ar citām Eiropas valstīm, Latvija ir retā valsts, kas nenodrošina studējošajiem universālās stipendijas, vai stipendijas, kas ņem vērā studējošo sociāli ekonomiskos apstākļus</w:t>
      </w:r>
      <w:r w:rsidRPr="002A7D65">
        <w:rPr>
          <w:rStyle w:val="FootnoteReference"/>
        </w:rPr>
        <w:footnoteReference w:id="42"/>
      </w:r>
    </w:p>
    <w:p w14:paraId="171079D1" w14:textId="77777777" w:rsidR="00E771A9" w:rsidRPr="002A7D65" w:rsidRDefault="00E771A9" w:rsidP="00E771A9">
      <w:pPr>
        <w:tabs>
          <w:tab w:val="left" w:pos="3105"/>
        </w:tabs>
      </w:pPr>
    </w:p>
    <w:p w14:paraId="6E1DFAEC" w14:textId="77777777" w:rsidR="00E771A9" w:rsidRPr="002A7D65" w:rsidRDefault="00E771A9" w:rsidP="00E771A9">
      <w:pPr>
        <w:tabs>
          <w:tab w:val="left" w:pos="3105"/>
        </w:tabs>
      </w:pPr>
      <w:r w:rsidRPr="002A7D65">
        <w:t xml:space="preserve">6.attēls  </w:t>
      </w:r>
      <w:r w:rsidRPr="002A7D65">
        <w:rPr>
          <w:i/>
        </w:rPr>
        <w:t>Īpatsvars ar pilna laika, pamatstudiju studējošiem, kas saņem universālās stipendijas (pēc sociālām vajadzībām)</w:t>
      </w:r>
    </w:p>
    <w:p w14:paraId="0F303230" w14:textId="77777777" w:rsidR="00E771A9" w:rsidRPr="002A7D65" w:rsidRDefault="00E771A9" w:rsidP="00E771A9">
      <w:pPr>
        <w:tabs>
          <w:tab w:val="left" w:pos="3105"/>
        </w:tabs>
      </w:pPr>
    </w:p>
    <w:p w14:paraId="4702180E" w14:textId="77777777" w:rsidR="00E771A9" w:rsidRPr="002A7D65" w:rsidRDefault="00E771A9" w:rsidP="00E771A9">
      <w:pPr>
        <w:tabs>
          <w:tab w:val="left" w:pos="3105"/>
        </w:tabs>
      </w:pPr>
      <w:r w:rsidRPr="002A7D65">
        <w:rPr>
          <w:noProof/>
        </w:rPr>
        <w:lastRenderedPageBreak/>
        <w:drawing>
          <wp:inline distT="0" distB="0" distL="0" distR="0" wp14:anchorId="2098F7B2" wp14:editId="276329FA">
            <wp:extent cx="5400040" cy="2988236"/>
            <wp:effectExtent l="0" t="0" r="0" b="3175"/>
            <wp:docPr id="7" name="Picture 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Map&#10;&#10;Description automatically generated"/>
                    <pic:cNvPicPr/>
                  </pic:nvPicPr>
                  <pic:blipFill rotWithShape="1">
                    <a:blip r:embed="rId21"/>
                    <a:srcRect t="10330"/>
                    <a:stretch/>
                  </pic:blipFill>
                  <pic:spPr bwMode="auto">
                    <a:xfrm>
                      <a:off x="0" y="0"/>
                      <a:ext cx="5400040" cy="2988236"/>
                    </a:xfrm>
                    <a:prstGeom prst="rect">
                      <a:avLst/>
                    </a:prstGeom>
                    <a:ln>
                      <a:noFill/>
                    </a:ln>
                    <a:extLst>
                      <a:ext uri="{53640926-AAD7-44D8-BBD7-CCE9431645EC}">
                        <a14:shadowObscured xmlns:a14="http://schemas.microsoft.com/office/drawing/2010/main"/>
                      </a:ext>
                    </a:extLst>
                  </pic:spPr>
                </pic:pic>
              </a:graphicData>
            </a:graphic>
          </wp:inline>
        </w:drawing>
      </w:r>
      <w:r w:rsidRPr="002A7D65">
        <w:tab/>
      </w:r>
    </w:p>
    <w:p w14:paraId="3661A8E7" w14:textId="77777777" w:rsidR="00E771A9" w:rsidRPr="002A7D65" w:rsidRDefault="00E771A9" w:rsidP="003F615E">
      <w:pPr>
        <w:pStyle w:val="Heading3"/>
        <w:numPr>
          <w:ilvl w:val="1"/>
          <w:numId w:val="24"/>
        </w:numPr>
      </w:pPr>
      <w:bookmarkStart w:id="44" w:name="_Toc159325075"/>
      <w:bookmarkStart w:id="45" w:name="_Toc159577423"/>
      <w:bookmarkStart w:id="46" w:name="_Toc160457595"/>
      <w:bookmarkStart w:id="47" w:name="_Toc167452340"/>
      <w:bookmarkStart w:id="48" w:name="_Toc108618662"/>
      <w:r w:rsidRPr="002A7D65">
        <w:t>Citu ES valstu piemēri</w:t>
      </w:r>
      <w:bookmarkEnd w:id="44"/>
      <w:bookmarkEnd w:id="45"/>
      <w:bookmarkEnd w:id="46"/>
      <w:bookmarkEnd w:id="47"/>
      <w:r w:rsidRPr="002A7D65">
        <w:t xml:space="preserve"> </w:t>
      </w:r>
    </w:p>
    <w:p w14:paraId="5B997B43" w14:textId="77777777" w:rsidR="00E771A9" w:rsidRPr="002A7D65" w:rsidRDefault="00E771A9" w:rsidP="00E771A9"/>
    <w:p w14:paraId="2A1A8EE9" w14:textId="77777777" w:rsidR="00E771A9" w:rsidRPr="002A7D65" w:rsidRDefault="00E771A9" w:rsidP="00E771A9">
      <w:r w:rsidRPr="002A7D65">
        <w:t xml:space="preserve">Izvērtējot citu valstu pieredzi ir secināms, ka visspējīgākās ir tās augstākās izglītības sistēmas, kas spēj nodrošināt gan būtisku augstākās izglītības kvalitāti, gan arī tās pieejamību. Izvērtējot Igaunijas un Somijas pilnībā valsts dotētās augstākās izglītības pieredzi ir secināms, ka pilnībā valsts dotētā augstākā izglītība var darboties tikai situācijā, kad valsts ieguldījums augstākajā izglītībā vairākkārt pārsniedz esošo Latvijas valsts ieguldījumu. Tāpat arī pilnībā valsts dotētās augstākās izglītības sistēmā valsts zaudē vairākus rīkus reflektantu plūsmas vadībai, kā rezultātā reflektantu plūsmas sasaiste ar darba tirgu tiek apgrūtināta. Viens veids, kā valstis vada reflektantu plūsmu, ir ieviešot kvotas uz studiju vietām noteiktajās jomās, taču tas notiek uz augstākās izglītības pieejamības rēķina. </w:t>
      </w:r>
    </w:p>
    <w:p w14:paraId="57E944C1" w14:textId="77777777" w:rsidR="00E771A9" w:rsidRPr="002A7D65" w:rsidRDefault="00E771A9" w:rsidP="00E771A9">
      <w:r w:rsidRPr="002A7D65">
        <w:t xml:space="preserve">Vērtējot Somijas un Nīderlandes pieredzi ir redzams, ka veselīgas augstākās izglītības iestāžu ekosistēmas izveidei ir nepieciešams veicināt augstākās izglītības iestāžu profilu daudzveidību atbilstoši iestāžu misijai un vērtējot to, vai to prioritāte ir studiju procesa nodrošināšana vai zinātne. Lai šo veicinātu, ir nepieciešams veidot diferencētu augstākās izglītības finansējuma sistēmu, kas ņem vērā iestāžu misiju atšķirības un vērtē iestādes atbilstoši to misijām. </w:t>
      </w:r>
    </w:p>
    <w:p w14:paraId="2AFF7E3A" w14:textId="77777777" w:rsidR="00E771A9" w:rsidRPr="002A7D65" w:rsidRDefault="00E771A9" w:rsidP="00E771A9">
      <w:r w:rsidRPr="002A7D65">
        <w:lastRenderedPageBreak/>
        <w:t>Nīderlandes pieeja augstākās izglītības finansēšanai, kas ietver studējošo  līdzmaksājumu, ir spējusi sasniegt gan augstu izglītības kvalitāti, gan arī augstu pieejamību. Ieviešot līdzmaksājumu ir iespēja nodrošināt augstākās izglītības iestādes ar papildu nepieciešamajiem resursiem jauna kvalitātes līmeņa sasniegšanai. Tāpat arī līdzmaksājuma sistēma, ja ieviesta uz stipras kreditēšanas sistēmas pamata, palīdz padarīt augstāko izglītību pieejamāku, jo tad valsts var galvenokārt nodrošināt finansiālu atbalstu tiem studējošajiem, kuriem tas ir visvairāk vajadzīgs un veicināt to motivāciju studēt.</w:t>
      </w:r>
    </w:p>
    <w:p w14:paraId="269A2FF1" w14:textId="77777777" w:rsidR="00E771A9" w:rsidRPr="002A7D65" w:rsidRDefault="00E771A9" w:rsidP="00E771A9">
      <w:r w:rsidRPr="002A7D65">
        <w:t xml:space="preserve">Tāpat arī no sistēmas snieguma vērtējuma, Nīderlandes augstākās izglītības sistēma visveiksmīgāk nodrošina kvalitāti un pieejamību. </w:t>
      </w:r>
      <w:r w:rsidRPr="002A7D65">
        <w:rPr>
          <w:b/>
        </w:rPr>
        <w:t>Vairāk nekā trīs ceturtdaļas no studējošajiem Nīderlandē studē universitātē, kas ir pasaules top 200</w:t>
      </w:r>
      <w:r w:rsidRPr="002A7D65">
        <w:rPr>
          <w:rStyle w:val="FootnoteReference"/>
        </w:rPr>
        <w:footnoteReference w:id="43"/>
      </w:r>
      <w:r w:rsidRPr="002A7D65">
        <w:t>, kā arī Nīderlande nodrošina būtiski augstāku augstākās izglītības pieejamību.</w:t>
      </w:r>
    </w:p>
    <w:p w14:paraId="042E0539" w14:textId="77777777" w:rsidR="00E771A9" w:rsidRPr="002A7D65" w:rsidRDefault="00E771A9" w:rsidP="00E771A9"/>
    <w:p w14:paraId="748B18EC" w14:textId="77777777" w:rsidR="00E771A9" w:rsidRPr="002A7D65" w:rsidRDefault="00E771A9" w:rsidP="00E771A9">
      <w:pPr>
        <w:pStyle w:val="ListParagraph"/>
        <w:jc w:val="right"/>
        <w:rPr>
          <w:lang w:eastAsia="ru-RU"/>
        </w:rPr>
      </w:pPr>
      <w:r w:rsidRPr="002A7D65">
        <w:rPr>
          <w:i/>
          <w:iCs/>
          <w:lang w:eastAsia="ru-RU"/>
        </w:rPr>
        <w:t>6. attēls:</w:t>
      </w:r>
      <w:r w:rsidRPr="002A7D65">
        <w:rPr>
          <w:lang w:eastAsia="ru-RU"/>
        </w:rPr>
        <w:t xml:space="preserve"> Iedzīvotāju īpatsvars ar augstāko izglītību 25-34 gadu vecumā</w:t>
      </w:r>
      <w:r w:rsidRPr="002A7D65">
        <w:rPr>
          <w:rStyle w:val="FootnoteReference"/>
          <w:lang w:eastAsia="ru-RU"/>
        </w:rPr>
        <w:footnoteReference w:id="44"/>
      </w:r>
    </w:p>
    <w:p w14:paraId="1747FEF0" w14:textId="77777777" w:rsidR="00E771A9" w:rsidRPr="002A7D65" w:rsidRDefault="00E771A9" w:rsidP="00E771A9">
      <w:r w:rsidRPr="002A7D65">
        <w:rPr>
          <w:noProof/>
        </w:rPr>
        <w:drawing>
          <wp:inline distT="0" distB="0" distL="0" distR="0" wp14:anchorId="224E2C25" wp14:editId="2C00567E">
            <wp:extent cx="5400040" cy="2442845"/>
            <wp:effectExtent l="0" t="0" r="0" b="0"/>
            <wp:docPr id="4" name="Chart 4">
              <a:extLst xmlns:a="http://schemas.openxmlformats.org/drawingml/2006/main">
                <a:ext uri="{FF2B5EF4-FFF2-40B4-BE49-F238E27FC236}">
                  <a16:creationId xmlns:a16="http://schemas.microsoft.com/office/drawing/2014/main" id="{19FFCEDC-0A70-4F1B-AA6A-572D4D85BE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00BF190" w14:textId="77777777" w:rsidR="00E771A9" w:rsidRPr="002A7D65" w:rsidRDefault="00E771A9" w:rsidP="00E771A9"/>
    <w:p w14:paraId="253EF9E1" w14:textId="77777777" w:rsidR="00E771A9" w:rsidRPr="002A7D65" w:rsidRDefault="00E771A9" w:rsidP="00E771A9">
      <w:r w:rsidRPr="002A7D65">
        <w:t>Kopumā pasaulē pastāvošas augstākās izglītības finansēšanas sistēmas varētu iedalīt sekojošās kategorijās:</w:t>
      </w:r>
    </w:p>
    <w:p w14:paraId="7C04FB09" w14:textId="77777777" w:rsidR="00E771A9" w:rsidRPr="002A7D65" w:rsidRDefault="00E771A9" w:rsidP="00E771A9">
      <w:pPr>
        <w:rPr>
          <w:rFonts w:cstheme="minorHAnsi"/>
        </w:rPr>
      </w:pPr>
      <w:r w:rsidRPr="002A7D65">
        <w:t xml:space="preserve"> </w:t>
      </w:r>
    </w:p>
    <w:p w14:paraId="661F815A" w14:textId="77777777" w:rsidR="00E771A9" w:rsidRPr="002A7D65" w:rsidRDefault="00E771A9" w:rsidP="00E771A9">
      <w:pPr>
        <w:pStyle w:val="ListParagraph"/>
        <w:numPr>
          <w:ilvl w:val="0"/>
          <w:numId w:val="8"/>
        </w:numPr>
        <w:rPr>
          <w:rFonts w:asciiTheme="minorHAnsi" w:hAnsiTheme="minorHAnsi" w:cstheme="minorHAnsi"/>
          <w:sz w:val="24"/>
        </w:rPr>
      </w:pPr>
      <w:r w:rsidRPr="002A7D65">
        <w:rPr>
          <w:rFonts w:asciiTheme="minorHAnsi" w:hAnsiTheme="minorHAnsi" w:cstheme="minorHAnsi"/>
          <w:sz w:val="24"/>
        </w:rPr>
        <w:lastRenderedPageBreak/>
        <w:t>Skandināvijas u.c. Ziemeļeiropas valstīs prevalē pilnībā valsts dotētā augstākā izglītība. Studējošie izmanto stipendijas un studējošo kredītus dzīvošanas izmaksu segšanai studiju laikā; augstākā izglītība tiek uztverts kā publisks labums, visai sabiedrībai kopumā iegūstot no kvalificēta darba spēka un padarot par iespējamu tautsaimniecību ar augstu pievienoto vērtību. Šim modelim ir daudz priekšrocību, taču jāatzīmē arī, ka 1) tas darbojās valstīs ar ievērojami augstāku nodokļu slogu nekā Latvijā; vienīgais izņēmums ir Igaunija, taču arī Igaunijā šobrīd tiek apsvērta iespēja ieviest studējošo līdzmaksājumu; 2) valsts finansēto studiju vietu skaits ir ierobežots, valsts finansējums nereaģē elastīgi uz pieprasījumu, un faktiski Skandināvijas valstīs tas ierobežo augstākās izglītības pieejamību.</w:t>
      </w:r>
    </w:p>
    <w:p w14:paraId="61B247EA" w14:textId="77777777" w:rsidR="00E771A9" w:rsidRPr="002A7D65" w:rsidRDefault="00E771A9" w:rsidP="00E771A9">
      <w:pPr>
        <w:pStyle w:val="ListParagraph"/>
        <w:ind w:left="1080" w:firstLine="0"/>
        <w:rPr>
          <w:rFonts w:asciiTheme="minorHAnsi" w:hAnsiTheme="minorHAnsi" w:cstheme="minorHAnsi"/>
          <w:sz w:val="24"/>
        </w:rPr>
      </w:pPr>
    </w:p>
    <w:p w14:paraId="0F7DBD45" w14:textId="77777777" w:rsidR="00E771A9" w:rsidRPr="002A7D65" w:rsidRDefault="00E771A9" w:rsidP="00E771A9">
      <w:pPr>
        <w:pStyle w:val="ListParagraph"/>
        <w:numPr>
          <w:ilvl w:val="0"/>
          <w:numId w:val="8"/>
        </w:numPr>
        <w:rPr>
          <w:rFonts w:asciiTheme="minorHAnsi" w:hAnsiTheme="minorHAnsi" w:cstheme="minorHAnsi"/>
          <w:sz w:val="24"/>
        </w:rPr>
      </w:pPr>
      <w:r w:rsidRPr="002A7D65">
        <w:rPr>
          <w:rFonts w:asciiTheme="minorHAnsi" w:hAnsiTheme="minorHAnsi" w:cstheme="minorHAnsi"/>
          <w:sz w:val="24"/>
        </w:rPr>
        <w:t xml:space="preserve">ASV, Lielbritānijas un citu t.s. anglosakšu valstu (Kanādas, Īrijas) modelis, kur studējošie maksā ievērojamu maksu; vienlaikus, valsts piešķir būtisku finansējumu studijām un pētniecībai, kas kopā ar studiju maksu nodrošina augstu kvalitāti un šo valstu augstskolas dominē dažādos starptautiskajos reitingos. Taču augsta studiju maksa veicina sociālo nevienlīdzību, kas nav piemērots Latvijai, kur sociālā nevienlīdzība jau tā ir viena no augstākajām ES. Lielbritānijā valsts nodrošināto kredītu atmaksas sistēma ir tāda, ka lielāka daļa absolventu neatmaksā kredītu pilnībā, un līdz ar to faktiskais rēķins valstij ir lielāks, nekā </w:t>
      </w:r>
      <w:proofErr w:type="spellStart"/>
      <w:r w:rsidRPr="002A7D65">
        <w:rPr>
          <w:rFonts w:asciiTheme="minorHAnsi" w:hAnsiTheme="minorHAnsi" w:cstheme="minorHAnsi"/>
          <w:sz w:val="24"/>
        </w:rPr>
        <w:t>pirmsšķietamais</w:t>
      </w:r>
      <w:proofErr w:type="spellEnd"/>
      <w:r w:rsidRPr="002A7D65">
        <w:rPr>
          <w:rFonts w:asciiTheme="minorHAnsi" w:hAnsiTheme="minorHAnsi" w:cstheme="minorHAnsi"/>
          <w:sz w:val="24"/>
        </w:rPr>
        <w:t xml:space="preserve"> izmaksu sadalījums starp valsti un studējošo. </w:t>
      </w:r>
    </w:p>
    <w:p w14:paraId="65D2AAB3" w14:textId="77777777" w:rsidR="00E771A9" w:rsidRPr="002A7D65" w:rsidRDefault="00E771A9" w:rsidP="00E771A9">
      <w:pPr>
        <w:pStyle w:val="ListParagraph"/>
        <w:rPr>
          <w:rFonts w:asciiTheme="minorHAnsi" w:hAnsiTheme="minorHAnsi" w:cstheme="minorHAnsi"/>
          <w:sz w:val="24"/>
        </w:rPr>
      </w:pPr>
    </w:p>
    <w:p w14:paraId="5DEB7C6D" w14:textId="77777777" w:rsidR="00E771A9" w:rsidRPr="002A7D65" w:rsidRDefault="00E771A9" w:rsidP="00E771A9">
      <w:pPr>
        <w:pStyle w:val="ListParagraph"/>
        <w:numPr>
          <w:ilvl w:val="0"/>
          <w:numId w:val="8"/>
        </w:numPr>
        <w:rPr>
          <w:rFonts w:asciiTheme="minorHAnsi" w:hAnsiTheme="minorHAnsi" w:cstheme="minorHAnsi"/>
          <w:sz w:val="24"/>
        </w:rPr>
      </w:pPr>
      <w:r w:rsidRPr="002A7D65">
        <w:rPr>
          <w:rFonts w:asciiTheme="minorHAnsi" w:hAnsiTheme="minorHAnsi" w:cstheme="minorHAnsi"/>
          <w:sz w:val="24"/>
        </w:rPr>
        <w:t>Valstis ar budžeta un maksas studiju vietām- tas ir dominējošais modelis postpadomju valstīs, kas radījās ne tik ļoti kā konceptuāli pārdomāts risinājums, cik vēsturiski attīstījusies situācija, kad valsts nespēja reaģēt uz būtiski pieaugušu pieprasījumu pēc augstākās izglītības un tādēļ ieviesa maksas studiju vietas.</w:t>
      </w:r>
    </w:p>
    <w:p w14:paraId="2E1154EA" w14:textId="77777777" w:rsidR="00E771A9" w:rsidRPr="002A7D65" w:rsidRDefault="00E771A9" w:rsidP="00E771A9">
      <w:pPr>
        <w:ind w:left="360"/>
        <w:rPr>
          <w:rFonts w:cstheme="minorHAnsi"/>
        </w:rPr>
      </w:pPr>
    </w:p>
    <w:p w14:paraId="69F35D63" w14:textId="7EE3BD41" w:rsidR="00E771A9" w:rsidRPr="002A7D65" w:rsidRDefault="00E771A9" w:rsidP="00E771A9">
      <w:pPr>
        <w:ind w:left="1080" w:firstLine="0"/>
        <w:rPr>
          <w:rFonts w:cstheme="minorHAnsi"/>
        </w:rPr>
      </w:pPr>
      <w:r w:rsidRPr="002A7D65">
        <w:rPr>
          <w:rFonts w:cstheme="minorHAnsi"/>
        </w:rPr>
        <w:t>Šim modelim ir tādi trūkumi ka 1) faktiski sociāli regresīvs raksturs, jo iespēja iegūt budžeta vietu korelē ar ģimenes labāku sociālekonomisko statusu</w:t>
      </w:r>
      <w:r w:rsidR="00CA4D4E">
        <w:rPr>
          <w:rFonts w:cstheme="minorHAnsi"/>
        </w:rPr>
        <w:t>, ko apliecina arī IZM veiktā analīze par budžeta vietu ieguvēju statistiku</w:t>
      </w:r>
      <w:r w:rsidRPr="002A7D65">
        <w:rPr>
          <w:rFonts w:cstheme="minorHAnsi"/>
        </w:rPr>
        <w:t xml:space="preserve">; 2) budžeta vieta kā svarīgāka studiju finansējuma formulas vienība rada stimulus augstskolām uzņemt studējošos, neizvirzot augstas prasības, bet nav uzsvara uz rezultātu (absolventu) un augstu studiju kvalitāti, kas būtu jālīdzsvaro ar otrā pīlāra (snieguma) finansējuma rādītājiem. </w:t>
      </w:r>
    </w:p>
    <w:p w14:paraId="38528AA3" w14:textId="77777777" w:rsidR="00E771A9" w:rsidRPr="002A7D65" w:rsidRDefault="00E771A9" w:rsidP="00E771A9">
      <w:pPr>
        <w:ind w:left="360"/>
        <w:rPr>
          <w:rFonts w:cstheme="minorHAnsi"/>
        </w:rPr>
      </w:pPr>
    </w:p>
    <w:p w14:paraId="519D69BA" w14:textId="77777777" w:rsidR="00E771A9" w:rsidRPr="002A7D65" w:rsidRDefault="00E771A9" w:rsidP="00E771A9">
      <w:pPr>
        <w:pStyle w:val="ListParagraph"/>
        <w:numPr>
          <w:ilvl w:val="0"/>
          <w:numId w:val="8"/>
        </w:numPr>
        <w:rPr>
          <w:rFonts w:asciiTheme="minorHAnsi" w:hAnsiTheme="minorHAnsi" w:cstheme="minorHAnsi"/>
          <w:sz w:val="24"/>
        </w:rPr>
      </w:pPr>
      <w:r w:rsidRPr="002A7D65">
        <w:rPr>
          <w:rFonts w:asciiTheme="minorHAnsi" w:hAnsiTheme="minorHAnsi" w:cstheme="minorHAnsi"/>
          <w:sz w:val="24"/>
        </w:rPr>
        <w:t xml:space="preserve">Valstu grupa, kurās izmaksas ir sadalītas starp valsti un studējošo un kur liela daļa studējošo maksā nelielu vai ievērojamāku studiju maksu (Nīderlande, Francija, Portugāle, Austrālija). </w:t>
      </w:r>
    </w:p>
    <w:p w14:paraId="1EEDEE99" w14:textId="77777777" w:rsidR="00E771A9" w:rsidRPr="002A7D65" w:rsidRDefault="00E771A9" w:rsidP="00E771A9">
      <w:pPr>
        <w:rPr>
          <w:rFonts w:cstheme="minorHAnsi"/>
        </w:rPr>
      </w:pPr>
    </w:p>
    <w:p w14:paraId="28E717E2" w14:textId="77777777" w:rsidR="00E771A9" w:rsidRPr="002A7D65" w:rsidRDefault="00E771A9" w:rsidP="00E771A9">
      <w:pPr>
        <w:ind w:left="1080" w:firstLine="0"/>
        <w:rPr>
          <w:rFonts w:cstheme="minorHAnsi"/>
        </w:rPr>
      </w:pPr>
      <w:r w:rsidRPr="002A7D65">
        <w:rPr>
          <w:rFonts w:cstheme="minorHAnsi"/>
        </w:rPr>
        <w:lastRenderedPageBreak/>
        <w:t>Šīs ir finansiāli ilgtspējīgākais modelis, kas sadala izmaksas starp abiem ieguvējiem- sabiedrību kopumā un pašu studējošo un apvieno iespēju nodrošināt augstu studiju kvalitāti, kas nav iespējama bez atbilstoša finansējuma, ar lielāku sistēmas elastīgumu un pieejamību, jo studējošā līdzmaksājuma apmērs nav salīdzināms ar anglosakšu valstu studiju maksu, bet ir atbilstošs iedzīvotāju pirktspējai</w:t>
      </w:r>
      <w:r w:rsidRPr="002A7D65">
        <w:rPr>
          <w:rStyle w:val="FootnoteReference"/>
        </w:rPr>
        <w:footnoteReference w:id="45"/>
      </w:r>
      <w:r w:rsidRPr="002A7D65">
        <w:rPr>
          <w:rFonts w:cstheme="minorHAnsi"/>
        </w:rPr>
        <w:t xml:space="preserve">. </w:t>
      </w:r>
    </w:p>
    <w:p w14:paraId="448C0AB3" w14:textId="77777777" w:rsidR="00E771A9" w:rsidRPr="002A7D65" w:rsidRDefault="00E771A9" w:rsidP="00E771A9">
      <w:pPr>
        <w:ind w:firstLine="0"/>
      </w:pPr>
    </w:p>
    <w:p w14:paraId="4B834773" w14:textId="3D8A70CE" w:rsidR="00E771A9" w:rsidRPr="002A7D65" w:rsidRDefault="00E771A9" w:rsidP="00E771A9">
      <w:r w:rsidRPr="002A7D65">
        <w:t xml:space="preserve">Pilnībā valsts dotētas augstākās izglītības ieviešana valsts augstskolās studējošajiem kopā ar studiju vietas bāzes celšanu līdz aktuālām izmaksām prasītu no valsts kopumā būtiski palielināt publisko ieguldījumu par 158 miljoniem </w:t>
      </w:r>
      <w:r w:rsidR="00C16B07" w:rsidRPr="00C16B07">
        <w:rPr>
          <w:i/>
          <w:iCs/>
        </w:rPr>
        <w:t>euro</w:t>
      </w:r>
      <w:r w:rsidRPr="002A7D65">
        <w:t xml:space="preserve">. </w:t>
      </w:r>
      <w:r w:rsidRPr="002A7D65">
        <w:rPr>
          <w:rFonts w:eastAsiaTheme="minorEastAsia"/>
        </w:rPr>
        <w:t xml:space="preserve">Līdz augstākās izglītības finansēšanas līmenim Igaunijā, rēķinot ar Latvijas prognozēto iekšzemes kopproduktu 2022.gadā, pietrūkst 180 milj. </w:t>
      </w:r>
      <w:r w:rsidR="00C16B07" w:rsidRPr="00C16B07">
        <w:rPr>
          <w:rFonts w:eastAsiaTheme="minorEastAsia"/>
          <w:i/>
          <w:iCs/>
        </w:rPr>
        <w:t>euro</w:t>
      </w:r>
      <w:r w:rsidRPr="002A7D65">
        <w:rPr>
          <w:rFonts w:eastAsiaTheme="minorEastAsia"/>
        </w:rPr>
        <w:t xml:space="preserve">, jo Igaunijā tika kompensēti arī privāto augstskolu ieņēmumi no iepriekš par maksu studējošiem. </w:t>
      </w:r>
    </w:p>
    <w:p w14:paraId="0658D921" w14:textId="77777777" w:rsidR="00E771A9" w:rsidRPr="002A7D65" w:rsidRDefault="00E771A9" w:rsidP="00E771A9">
      <w:r w:rsidRPr="002A7D65">
        <w:t xml:space="preserve">Taču ja valsts finansējums netiks regulāri aktualizēts atbilstoši studējošo skaitam, un tā tas ir noticis arī Ziemeļeiropas valstīs, tad faktiski tiks ierobežots studējošo skaits, kas var studēt valsts augstskolās, un sistēma neļauj ietekmēt reflektantu izvēli atbilstoši darba tirgus pieprasījumam. Savukārt kvotu ieviešana noteiktām studiju jomām ietu pret šādas sistēmas fundamentālo pieejamības veicināšanas mērķi. </w:t>
      </w:r>
    </w:p>
    <w:p w14:paraId="198E6C01" w14:textId="77777777" w:rsidR="00E771A9" w:rsidRPr="002A7D65" w:rsidRDefault="00E771A9" w:rsidP="00E771A9"/>
    <w:p w14:paraId="07D231DE" w14:textId="77777777" w:rsidR="00E771A9" w:rsidRPr="002A7D65" w:rsidRDefault="00E771A9" w:rsidP="00491B9A">
      <w:pPr>
        <w:pStyle w:val="Heading4"/>
      </w:pPr>
      <w:r w:rsidRPr="002A7D65">
        <w:t>Igaunija</w:t>
      </w:r>
    </w:p>
    <w:p w14:paraId="25CFBA69" w14:textId="77777777" w:rsidR="00E771A9" w:rsidRPr="002A7D65" w:rsidRDefault="00E771A9" w:rsidP="00E771A9">
      <w:r w:rsidRPr="002A7D65">
        <w:t>Kopš 2016. gada Igaunijā augstākā izglītība tiek finansēta pēc diviem principiem – ar nemainīgu bāzes izmaksu komponenti un mainīgu snieguma rādītāju komponenti. Snieguma rādītāju summa no kopējā valsts ieguldījuma iestādē var sasniegt pat 75%. Kā snieguma rādītāji tiek izmantoti uzņemto studējošo skaits, studiju kvalitāte un absolventu skaits. Līdzīgi kā Latvijā, arī Igaunijā Izglītības un zinātnes ministrija paraksta līgumu ar iestādi, kas saņem finansējumu, tādā veidā koordinējot iestāžu darbu</w:t>
      </w:r>
      <w:r w:rsidRPr="002A7D65">
        <w:rPr>
          <w:rStyle w:val="FootnoteReference"/>
        </w:rPr>
        <w:footnoteReference w:id="46"/>
      </w:r>
      <w:r w:rsidRPr="002A7D65">
        <w:t>.</w:t>
      </w:r>
    </w:p>
    <w:p w14:paraId="2D2F20CB" w14:textId="77777777" w:rsidR="00E771A9" w:rsidRPr="002A7D65" w:rsidRDefault="00E771A9" w:rsidP="00E771A9">
      <w:r w:rsidRPr="002A7D65">
        <w:t>Pamatstudiju un augstākā līmeņa studiju programmas bez maksas ir pieejamas personām, kuras studē igauņu valodā un kuras semestra laikā iegūst 30 kredītpunktus atbilstoši Eiropas Kredītu pārneses sistēmai (turpmāk – ECTS), bet gadā – 60 ECTS. Augstskolas studiju maksu var piemērot par katru ECTS, ko studējošais nav apguvis atbilstoši studiju plānam, izņemot vairākas studējošo grupas, piemēram, personas ar invaliditāti, vecāki vai aizbildņi bērniem līdz septiņu gadu vecumam, kā arī vecāki bērniem ar invaliditāti. Kopumā 2019./ 2020. akadēmiskajā gadā par studijām maksāja vien 13% pilna laika pamatstudijās un 16,4% augstākā līmeņa studijās studējošie.</w:t>
      </w:r>
    </w:p>
    <w:p w14:paraId="0409CCA3" w14:textId="77777777" w:rsidR="00E771A9" w:rsidRPr="002A7D65" w:rsidRDefault="00E771A9" w:rsidP="00E771A9">
      <w:pPr>
        <w:spacing w:after="160"/>
        <w:ind w:firstLine="0"/>
        <w:jc w:val="left"/>
      </w:pPr>
    </w:p>
    <w:p w14:paraId="06FC483C" w14:textId="0D1C6DA3" w:rsidR="00E771A9" w:rsidRPr="002A7D65" w:rsidRDefault="00E771A9" w:rsidP="00E771A9">
      <w:pPr>
        <w:spacing w:after="160"/>
        <w:ind w:firstLine="0"/>
        <w:jc w:val="left"/>
      </w:pPr>
      <w:r w:rsidRPr="002A7D65">
        <w:rPr>
          <w:noProof/>
        </w:rPr>
        <w:lastRenderedPageBreak/>
        <w:drawing>
          <wp:anchor distT="0" distB="0" distL="114300" distR="114300" simplePos="0" relativeHeight="251676672" behindDoc="0" locked="0" layoutInCell="1" allowOverlap="1" wp14:anchorId="2402EB74" wp14:editId="1F0F8627">
            <wp:simplePos x="0" y="0"/>
            <wp:positionH relativeFrom="column">
              <wp:posOffset>658278</wp:posOffset>
            </wp:positionH>
            <wp:positionV relativeFrom="paragraph">
              <wp:posOffset>427928</wp:posOffset>
            </wp:positionV>
            <wp:extent cx="4526280" cy="2157984"/>
            <wp:effectExtent l="0" t="0" r="7620" b="0"/>
            <wp:wrapTopAndBottom/>
            <wp:docPr id="1917710463" name="Picture 1917710463" descr="A picture containing text, screenshot, fon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710463" name="Picture 1917710463" descr="A picture containing text, screenshot, font, number&#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26280" cy="2157984"/>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7D65">
        <w:rPr>
          <w:i/>
          <w:iCs/>
        </w:rPr>
        <w:t>14. attēls:</w:t>
      </w:r>
      <w:r w:rsidRPr="002A7D65">
        <w:rPr>
          <w:b/>
          <w:bCs/>
        </w:rPr>
        <w:t xml:space="preserve"> Studiju maksa un finansiālie atbalsta mehānismi studējošajiem Igaunijā</w:t>
      </w:r>
      <w:r w:rsidRPr="002A7D65">
        <w:rPr>
          <w:b/>
          <w:bCs/>
        </w:rPr>
        <w:br/>
      </w:r>
      <w:r w:rsidRPr="002A7D65">
        <w:t xml:space="preserve">(Avots: </w:t>
      </w:r>
      <w:r w:rsidRPr="002A7D65">
        <w:fldChar w:fldCharType="begin"/>
      </w:r>
      <w:r w:rsidRPr="002A7D65">
        <w:instrText xml:space="preserve"> ADDIN ZOTERO_ITEM CSL_CITATION {"citationID":"rD2Ep8dm","properties":{"formattedCitation":"(European Commission/EACEA/Eurydice, 2020)","plainCitation":"(European Commission/EACEA/Eurydice, 2020)","noteIndex":0},"citationItems":[{"id":"1UWm9USB/MqcCNpO3","uris":["http://zotero.org/users/7276493/items/SYCBS86D"],"uri":["http://zotero.org/users/7276493/items/SYCBS86D"],"itemData":{"id":15,"type":"book","event-place":"Luxembourg","ISBN":"978-92-9484-361-6","language":"English","publisher":"Publications Office of the European Union","publisher-place":"Luxembourg","source":"Open WorldCat","title":"National Student Fee and Support Systems in European Higher Education – 2020/21","title-short":"National student fee and support systems in European higher education","URL":"https://eacea.ec.europa.eu/national-policies/eurydice/content/national-student-fee-and-support-systems-european-higher-education-202021_en","author":[{"literal":"European Commission/EACEA/Eurydice"}],"accessed":{"date-parts":[["2020",12,20]]},"issued":{"date-parts":[["2020"]]}}}],"schema":"https://github.com/citation-style-language/schema/raw/master/csl-citation.json"} </w:instrText>
      </w:r>
      <w:r w:rsidRPr="002A7D65">
        <w:fldChar w:fldCharType="separate"/>
      </w:r>
      <w:r w:rsidRPr="002A7D65">
        <w:t>(</w:t>
      </w:r>
      <w:r w:rsidR="00C16B07" w:rsidRPr="00142B8E">
        <w:t>Euro</w:t>
      </w:r>
      <w:r w:rsidRPr="00142B8E">
        <w:t>pean</w:t>
      </w:r>
      <w:r w:rsidRPr="002A7D65">
        <w:t xml:space="preserve"> Commission/EACEA/Eurydice, 2020)</w:t>
      </w:r>
      <w:r w:rsidRPr="002A7D65">
        <w:fldChar w:fldCharType="end"/>
      </w:r>
      <w:r w:rsidRPr="002A7D65">
        <w:t>)</w:t>
      </w:r>
    </w:p>
    <w:p w14:paraId="176BD00F" w14:textId="77777777" w:rsidR="00E771A9" w:rsidRPr="002A7D65" w:rsidRDefault="00E771A9" w:rsidP="00E771A9"/>
    <w:p w14:paraId="1E199403" w14:textId="77777777" w:rsidR="00E771A9" w:rsidRPr="002A7D65" w:rsidRDefault="00E771A9" w:rsidP="00E771A9">
      <w:r w:rsidRPr="002A7D65">
        <w:t>Augstskolām ir tiesības noteikt studiju maksu nepilna laika studējošajiem un personām, kuras studē svešvalodā. 2019./ 2020. akadēmiskajā gadā Igaunijā svešvalodā studēja 7,3% studējošo. Kā arī 86% nepilna laika pamatstudiju un augstākā līmeņa studiju studējošajiem bija noteikta studiju maksa. Minētie studiju maksas nosacījumi vienādā līmenī attiecas gan uz Igaunijas pilsoņiem, gan uz starptautiskajiem studējošajiem, tostarp ārpus ES un Eiropas Ekonomikas zonas.</w:t>
      </w:r>
    </w:p>
    <w:p w14:paraId="564FF248" w14:textId="1EF4827F" w:rsidR="00E771A9" w:rsidRPr="002A7D65" w:rsidRDefault="00E771A9" w:rsidP="00E771A9">
      <w:r w:rsidRPr="002A7D65">
        <w:t xml:space="preserve">Finansiālā atbalsta mehānismi Igaunijā galvenokārt attiecas uz pilna laika studējošajiem, un tos piešķir, balstoties akadēmiskajos nopelnos vai sociālajos kritērijos. Sociālā atbalsta nodrošināšanai ikmēneša atbalsts ir 75 līdz 220 </w:t>
      </w:r>
      <w:r w:rsidR="00F6418F">
        <w:rPr>
          <w:i/>
          <w:iCs/>
        </w:rPr>
        <w:t xml:space="preserve">euro </w:t>
      </w:r>
      <w:r w:rsidRPr="002A7D65">
        <w:t xml:space="preserve">robežās, kuru pilna laika studējošajiem izmaksā desmit mēnešus gadā – konkrētu apmēru nosaka atbilstoši ģimenes ienākumu līmenim. Vienlaikus pilna un nepilna laika studējošie ar invaliditāti vai kuri dzīvo sociālās aprūpes iestādēs var pieteikties augstākās izglītības iegūšanai paredzētam pabalstam. Studējošajiem ar invaliditāti ikmēneša pabalsta apmērs ir no 60 līdz 510 </w:t>
      </w:r>
      <w:r w:rsidR="00F6418F">
        <w:rPr>
          <w:i/>
          <w:iCs/>
        </w:rPr>
        <w:t>euro</w:t>
      </w:r>
      <w:r w:rsidRPr="002A7D65">
        <w:t xml:space="preserve">. </w:t>
      </w:r>
    </w:p>
    <w:p w14:paraId="540EA107" w14:textId="5E540795" w:rsidR="00E771A9" w:rsidRPr="002A7D65" w:rsidRDefault="00E771A9" w:rsidP="00E771A9">
      <w:r w:rsidRPr="002A7D65">
        <w:t>Savukārt ikmēneša pabalsts par akadēmiskajiem nopelniem ir 100</w:t>
      </w:r>
      <w:r w:rsidR="00F6418F">
        <w:t xml:space="preserve"> </w:t>
      </w:r>
      <w:r w:rsidR="00F6418F">
        <w:rPr>
          <w:i/>
          <w:iCs/>
        </w:rPr>
        <w:t>euro</w:t>
      </w:r>
      <w:r w:rsidR="00F6418F" w:rsidRPr="00F6418F">
        <w:rPr>
          <w:i/>
          <w:iCs/>
        </w:rPr>
        <w:t xml:space="preserve"> </w:t>
      </w:r>
      <w:r w:rsidRPr="002A7D65">
        <w:t xml:space="preserve">un to var iegūt personas ar izciliem studiju rezultātiem. Šo pabalstu pilna laika pamatstudiju un augstākā līmeņa studiju programmās 2019./ 2020. akadēmiskajā gadā ieguva 5-6% studējošo. Papildus tam pilna laika studējošie, kas studē prioritārās studiju programmās, var pretendēt uz speciālu ikmēneša pabalstu 160 </w:t>
      </w:r>
      <w:r w:rsidR="00F6418F">
        <w:rPr>
          <w:i/>
          <w:iCs/>
        </w:rPr>
        <w:t>euro</w:t>
      </w:r>
      <w:r w:rsidRPr="002A7D65">
        <w:t xml:space="preserve"> apmērā, kas datorzinātņu un informācijas tehnoloģiju programmās ir vēl lielāks – 160 līdz </w:t>
      </w:r>
      <w:r w:rsidR="00F6418F">
        <w:rPr>
          <w:i/>
          <w:iCs/>
        </w:rPr>
        <w:t>euro</w:t>
      </w:r>
      <w:r w:rsidRPr="002A7D65">
        <w:t>. Aptuveni 6% studējošo 2018./ 2019. akadēmiskajā gadā ieguva šādu speciālu pabalstu.</w:t>
      </w:r>
    </w:p>
    <w:p w14:paraId="50446076" w14:textId="77777777" w:rsidR="00E771A9" w:rsidRPr="002A7D65" w:rsidRDefault="00E771A9" w:rsidP="00E771A9">
      <w:r w:rsidRPr="002A7D65">
        <w:lastRenderedPageBreak/>
        <w:t>Vairākām personu grupām ir arī iespēja pieteikties valsts galvotam studiju aizdevumam. Uz to var pretendēt Igaunijas pilsoņi vai personas ar pastāvīgās uzturēšanās atļauju, kuras vismaz deviņus mēnešus studē pilna vai nepilna laika studiju programmās. Šādu iespēju 2019./ 2020. akadēmiskajā gadā izmantoja 4% pamatstudijās un 2% augstākā līmeņa studijās studējošie. Ja studijas netiek turpinātas nākamajā studiju līmenī, piešķirtā aizdevuma apmaksa ir jāuzsāk ne vēlāk kā gadu pēc studiju beigām. Pilna aizdevuma summa ir jāapmaksā laika periodā, kas ir dubultots ar studiju ilgumu.</w:t>
      </w:r>
    </w:p>
    <w:p w14:paraId="6A355D51" w14:textId="77777777" w:rsidR="00E771A9" w:rsidRPr="002A7D65" w:rsidRDefault="00E771A9" w:rsidP="00E771A9">
      <w:r w:rsidRPr="002A7D65">
        <w:t>Bez finansiāla atbalsta mehānismiem Igaunijā ir pieejami ar mācību izdevumiem saistīti nodokļu atvieglojumi, ja studējošais ir jaunāks par 26 gadiem un dzīvo Igaunijā, bet ģimenes pabalsti izglītojamo vecākiem Igaunijā nav pieejami.</w:t>
      </w:r>
    </w:p>
    <w:p w14:paraId="1C49CD16" w14:textId="77777777" w:rsidR="00E771A9" w:rsidRPr="002A7D65" w:rsidRDefault="00E771A9" w:rsidP="00E771A9">
      <w:r w:rsidRPr="002A7D65">
        <w:t>Izvērtējot pāreju uz pilnībā valsts dotēto augstāko izglītību, Igaunijas Republikas Valsts kontrole 2019. gadā veiktajā auditā secināja, ka, lai arī studējošajiem ir iespējams augstāko izglītību iegūt īsākā laikā un ir samazinājies studijas pārtraukušo skaits, tomēr augstskolām ir ierobežotākas papildu ieņēmumu gūšanas iespējas un augstākās izglītības finansēšanas modelis ir novecojis. Vienlaikus arī augstākās izglītības reforma nav nodrošinājusi absolventu pieaugumu nozarēs, kurās trūkst speciālistu. Igaunija ir noteikusi jomas, kurās nepieciešamība pēc jauniem speciālistiem ir lielākā, bet tikai ar medicīnu un veselības aprūpi saistītās studiju programmas nodrošina nepieciešamo absolventu skaitu. Ziņojumā rekomendēts paplašināt valsts dotāciju izmaksu tajās jomās, kur nākotnē pieaugs nepieciešamības pēc darbaspēka. Statistiski studējošo skaits ir palielinājies gandrīz visās studiju programmās, kurās studējošajiem piešķir specialitātē balstītas stipendijas (piemēram, STEM jomas). Nedaudz pieaudzis ir arī to studējošo skaits, kuri paralēli studijām strādā algotu darbu – no 50% 2013. gadā līdz 53% 2016.–2018. gadā</w:t>
      </w:r>
      <w:r w:rsidRPr="002A7D65">
        <w:rPr>
          <w:rStyle w:val="FootnoteReference"/>
        </w:rPr>
        <w:footnoteReference w:id="47"/>
      </w:r>
      <w:r w:rsidRPr="002A7D65">
        <w:t>.</w:t>
      </w:r>
    </w:p>
    <w:p w14:paraId="564D849B" w14:textId="77777777" w:rsidR="00E771A9" w:rsidRPr="002A7D65" w:rsidRDefault="00E771A9" w:rsidP="00E771A9"/>
    <w:bookmarkEnd w:id="48"/>
    <w:p w14:paraId="76E51050" w14:textId="77777777" w:rsidR="00E771A9" w:rsidRPr="002A7D65" w:rsidRDefault="00E771A9" w:rsidP="00491B9A">
      <w:pPr>
        <w:pStyle w:val="Heading4"/>
      </w:pPr>
      <w:r w:rsidRPr="002A7D65">
        <w:t>Somija</w:t>
      </w:r>
    </w:p>
    <w:p w14:paraId="4CAFBD61" w14:textId="77777777" w:rsidR="00E771A9" w:rsidRPr="002A7D65" w:rsidRDefault="00E771A9" w:rsidP="00E771A9">
      <w:r w:rsidRPr="002A7D65">
        <w:t>Somijas augstākās izglītības sistēma sastāv no divām dažādām iestāžu grupām – universitātēm un augstskolām [</w:t>
      </w:r>
      <w:proofErr w:type="spellStart"/>
      <w:r w:rsidRPr="002A7D65">
        <w:rPr>
          <w:i/>
        </w:rPr>
        <w:t>university</w:t>
      </w:r>
      <w:proofErr w:type="spellEnd"/>
      <w:r w:rsidRPr="002A7D65">
        <w:rPr>
          <w:i/>
        </w:rPr>
        <w:t xml:space="preserve"> </w:t>
      </w:r>
      <w:proofErr w:type="spellStart"/>
      <w:r w:rsidRPr="002A7D65">
        <w:rPr>
          <w:i/>
        </w:rPr>
        <w:t>of</w:t>
      </w:r>
      <w:proofErr w:type="spellEnd"/>
      <w:r w:rsidRPr="002A7D65">
        <w:rPr>
          <w:i/>
        </w:rPr>
        <w:t xml:space="preserve"> </w:t>
      </w:r>
      <w:proofErr w:type="spellStart"/>
      <w:r w:rsidRPr="002A7D65">
        <w:rPr>
          <w:i/>
        </w:rPr>
        <w:t>applied</w:t>
      </w:r>
      <w:proofErr w:type="spellEnd"/>
      <w:r w:rsidRPr="002A7D65">
        <w:rPr>
          <w:i/>
        </w:rPr>
        <w:t xml:space="preserve"> </w:t>
      </w:r>
      <w:proofErr w:type="spellStart"/>
      <w:r w:rsidRPr="002A7D65">
        <w:rPr>
          <w:i/>
        </w:rPr>
        <w:t>science</w:t>
      </w:r>
      <w:proofErr w:type="spellEnd"/>
      <w:r w:rsidRPr="002A7D65">
        <w:t>], kurām ir dažādi finansēšanas kritēriji. Abi iestāžu tipi tiek finansēti, balstoties uz bāzes un snieguma finansējumu. 39% no universitāšu finansējuma tiek piešķirts studiju procesam, 33% zinātnei, un 28% stratēģiskai attīstībai un sabiedrības iesaistei. Savukārt 79% no augstskolu finansējuma tiek piešķirts studiju procesam, 15% pētniecībai un attīstībai un 6% stratēģiskai attīstībai</w:t>
      </w:r>
      <w:r w:rsidRPr="002A7D65">
        <w:rPr>
          <w:rStyle w:val="FootnoteReference"/>
        </w:rPr>
        <w:footnoteReference w:id="48"/>
      </w:r>
      <w:r w:rsidRPr="002A7D65">
        <w:t>. Somijas studiju vietu skaits augstākajā izglītība tiek noteikts pārrunās starp ministriju un augstskolām</w:t>
      </w:r>
      <w:r w:rsidRPr="002A7D65">
        <w:rPr>
          <w:rStyle w:val="FootnoteReference"/>
        </w:rPr>
        <w:footnoteReference w:id="49"/>
      </w:r>
      <w:r w:rsidRPr="002A7D65">
        <w:t>.</w:t>
      </w:r>
    </w:p>
    <w:p w14:paraId="0D0116DF" w14:textId="069CFC4A" w:rsidR="00E771A9" w:rsidRPr="002A7D65" w:rsidRDefault="00E771A9" w:rsidP="00E771A9">
      <w:r w:rsidRPr="002A7D65">
        <w:lastRenderedPageBreak/>
        <w:t>Augstāko izglītību regulējošie normatīvie akti Somijā neparedz nepilna laika studiju iespēju, kā arī netiek nodrošinātas koledžas līmeņa studiju programmas. Studējošajiem, kuri augstāko izglītību iegūst pamatstudiju un augstākā līmeņa studiju programmās, nav jāmaksā par savām studijām. Citāda situācija ir studējošajiem, kas nav EU vai EEZ valstu pilsoņi vai kas nav šajās valstīs ieguvuši pastāvīgo uzturēšanās at</w:t>
      </w:r>
      <w:r w:rsidR="00306CDE">
        <w:t>ļ</w:t>
      </w:r>
      <w:r w:rsidRPr="002A7D65">
        <w:t xml:space="preserve">auju. Ja šie studējošie </w:t>
      </w:r>
      <w:r w:rsidR="00E10D91" w:rsidRPr="002A7D65">
        <w:t>pamatstudijās</w:t>
      </w:r>
      <w:r w:rsidRPr="002A7D65">
        <w:t xml:space="preserve"> vai augstākā līmeņa studijas apgūst ne somu un ne zviedru valodā, tiem par studijām ik gadu ir jāmaksā vismaz 1500 </w:t>
      </w:r>
      <w:r w:rsidR="001673CC">
        <w:rPr>
          <w:i/>
          <w:iCs/>
        </w:rPr>
        <w:t>euro</w:t>
      </w:r>
      <w:r w:rsidRPr="002A7D65">
        <w:t>. Savukārt studijas somu vai zviedru valodā arī tiem ir bez maksas.</w:t>
      </w:r>
    </w:p>
    <w:p w14:paraId="7DD71A50" w14:textId="6BB2E673" w:rsidR="00E771A9" w:rsidRPr="002A7D65" w:rsidRDefault="00E771A9" w:rsidP="00E771A9">
      <w:r w:rsidRPr="002A7D65">
        <w:t xml:space="preserve">Standarta studiju stipendija ir pieejama ne ilgāk kā 54 mēnešus, ko var iegūt, ja studējošais akadēmiskajā gadā iegūst vismaz 45 kredītpunktus. Precīzu stipendijas apmēru nosaka, ņemot vērā studējošā materiālos apstākļus un vai studējošais dzīvo pie vecākiem. Gadījumos, kad studējošais īrē savu dzīves vietu, ikmēneša atbalsta pakete sastāv no 1) 253 </w:t>
      </w:r>
      <w:r w:rsidR="001673CC">
        <w:rPr>
          <w:i/>
          <w:iCs/>
        </w:rPr>
        <w:t>euro</w:t>
      </w:r>
      <w:r w:rsidRPr="002A7D65">
        <w:t xml:space="preserve"> lielas stipendijas, 2) valsts garantēta aizdevuma līdz 650 </w:t>
      </w:r>
      <w:r w:rsidR="001673CC" w:rsidRPr="001673CC">
        <w:rPr>
          <w:i/>
          <w:iCs/>
        </w:rPr>
        <w:t>euro</w:t>
      </w:r>
      <w:r w:rsidR="001673CC">
        <w:t xml:space="preserve"> </w:t>
      </w:r>
      <w:r w:rsidRPr="002A7D65">
        <w:t xml:space="preserve"> un 3) mājokļa pabalsta 281-416 </w:t>
      </w:r>
      <w:r w:rsidR="001673CC" w:rsidRPr="001673CC">
        <w:rPr>
          <w:i/>
          <w:iCs/>
        </w:rPr>
        <w:t xml:space="preserve">euro </w:t>
      </w:r>
      <w:r w:rsidRPr="002A7D65">
        <w:t xml:space="preserve"> robežās.</w:t>
      </w:r>
    </w:p>
    <w:p w14:paraId="40195CD5" w14:textId="77777777" w:rsidR="00E771A9" w:rsidRPr="002A7D65" w:rsidRDefault="00E771A9" w:rsidP="00E771A9">
      <w:pPr>
        <w:spacing w:after="160"/>
        <w:ind w:firstLine="0"/>
        <w:jc w:val="left"/>
      </w:pPr>
    </w:p>
    <w:p w14:paraId="280B3544" w14:textId="3983EA64" w:rsidR="00E771A9" w:rsidRPr="002A7D65" w:rsidRDefault="00E771A9" w:rsidP="00E771A9">
      <w:pPr>
        <w:spacing w:after="160"/>
        <w:ind w:firstLine="0"/>
        <w:jc w:val="left"/>
      </w:pPr>
      <w:r w:rsidRPr="002A7D65">
        <w:rPr>
          <w:noProof/>
        </w:rPr>
        <w:drawing>
          <wp:anchor distT="0" distB="0" distL="114300" distR="114300" simplePos="0" relativeHeight="251672576" behindDoc="0" locked="0" layoutInCell="1" allowOverlap="1" wp14:anchorId="319A44CF" wp14:editId="064E8D59">
            <wp:simplePos x="0" y="0"/>
            <wp:positionH relativeFrom="column">
              <wp:posOffset>761225</wp:posOffset>
            </wp:positionH>
            <wp:positionV relativeFrom="paragraph">
              <wp:posOffset>390757</wp:posOffset>
            </wp:positionV>
            <wp:extent cx="4206240" cy="2157984"/>
            <wp:effectExtent l="0" t="0" r="3810" b="0"/>
            <wp:wrapTopAndBottom/>
            <wp:docPr id="533865164" name="Picture 533865164" descr="A screenshot of a computer scree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865164" name="Picture 533865164" descr="A screenshot of a computer screen&#10;&#10;Description automatically generated with low confidenc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06240" cy="2157984"/>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7D65">
        <w:rPr>
          <w:i/>
          <w:iCs/>
        </w:rPr>
        <w:t>16. attēls:</w:t>
      </w:r>
      <w:r w:rsidRPr="002A7D65">
        <w:rPr>
          <w:b/>
          <w:bCs/>
        </w:rPr>
        <w:t xml:space="preserve"> Studiju maksa un finansiālie atbalsta mehānismi studējošajiem Somijā</w:t>
      </w:r>
      <w:r w:rsidRPr="002A7D65">
        <w:rPr>
          <w:b/>
          <w:bCs/>
        </w:rPr>
        <w:br/>
      </w:r>
      <w:r w:rsidRPr="002A7D65">
        <w:t xml:space="preserve">(Avots: </w:t>
      </w:r>
      <w:r w:rsidRPr="002A7D65">
        <w:fldChar w:fldCharType="begin"/>
      </w:r>
      <w:r w:rsidRPr="002A7D65">
        <w:instrText xml:space="preserve"> ADDIN ZOTERO_ITEM CSL_CITATION {"citationID":"SuS80Uce","properties":{"formattedCitation":"(European Commission/EACEA/Eurydice, 2020)","plainCitation":"(European Commission/EACEA/Eurydice, 2020)","noteIndex":0},"citationItems":[{"id":"1UWm9USB/MqcCNpO3","uris":["http://zotero.org/users/7276493/items/SYCBS86D"],"uri":["http://zotero.org/users/7276493/items/SYCBS86D"],"itemData":{"id":15,"type":"book","event-place":"Luxembourg","ISBN":"978-92-9484-361-6","language":"English","publisher":"Publications Office of the European Union","publisher-place":"Luxembourg","source":"Open WorldCat","title":"National Student Fee and Support Systems in European Higher Education – 2020/21","title-short":"National student fee and support systems in European higher education","URL":"https://eacea.ec.europa.eu/national-policies/eurydice/content/national-student-fee-and-support-systems-european-higher-education-202021_en","author":[{"literal":"European Commission/EACEA/Eurydice"}],"accessed":{"date-parts":[["2020",12,20]]},"issued":{"date-parts":[["2020"]]}}}],"schema":"https://github.com/citation-style-language/schema/raw/master/csl-citation.json"} </w:instrText>
      </w:r>
      <w:r w:rsidRPr="002A7D65">
        <w:fldChar w:fldCharType="separate"/>
      </w:r>
      <w:r w:rsidRPr="002A7D65">
        <w:t>(</w:t>
      </w:r>
      <w:r w:rsidR="00C16B07" w:rsidRPr="00142B8E">
        <w:t>Euro</w:t>
      </w:r>
      <w:r w:rsidRPr="00142B8E">
        <w:t>pean</w:t>
      </w:r>
      <w:r w:rsidRPr="002A7D65">
        <w:t xml:space="preserve"> Commission/EACEA/Eurydice, 2020)</w:t>
      </w:r>
      <w:r w:rsidRPr="002A7D65">
        <w:fldChar w:fldCharType="end"/>
      </w:r>
      <w:r w:rsidRPr="002A7D65">
        <w:t>)</w:t>
      </w:r>
    </w:p>
    <w:p w14:paraId="51073C08" w14:textId="77777777" w:rsidR="00E771A9" w:rsidRPr="002A7D65" w:rsidRDefault="00E771A9" w:rsidP="00E771A9"/>
    <w:p w14:paraId="1D96DFF1" w14:textId="2DE702EF" w:rsidR="00E771A9" w:rsidRPr="002A7D65" w:rsidRDefault="00E771A9" w:rsidP="00E771A9">
      <w:r w:rsidRPr="002A7D65">
        <w:t xml:space="preserve">Studiju stipendiju var saņemt, ja studējošā gada ienākumi nepārsniedz 12 500 </w:t>
      </w:r>
      <w:r w:rsidR="001673CC" w:rsidRPr="001673CC">
        <w:rPr>
          <w:i/>
          <w:iCs/>
        </w:rPr>
        <w:t xml:space="preserve">euro </w:t>
      </w:r>
      <w:r w:rsidRPr="002A7D65">
        <w:t>. Vienlaikus stipendijas apmērs var samazināties tiem studējošajiem, kuriem nepienākas mājokļa pabalsts sakarā ar citu konkrētajā mājsaimniecībā dzīvojošo personu ienākumu līmeni, piemēram, laulātā. Dati rāda, ka 2018./ 2019. akadēmiskajā gadā studiju stipendiju saņēma 50,9% pamatstudijās un 13,2% augstākā līmeņa studijās studējošie.</w:t>
      </w:r>
    </w:p>
    <w:p w14:paraId="4019DCA5" w14:textId="6DAD6AA8" w:rsidR="00E771A9" w:rsidRPr="002A7D65" w:rsidRDefault="00E771A9" w:rsidP="00E771A9">
      <w:r w:rsidRPr="002A7D65">
        <w:lastRenderedPageBreak/>
        <w:t xml:space="preserve">Tāpat Somijā ir pieejams valsts garantēts studiju aizdevums, kas var sasniegt 650 mēnesī. Pabeidzot studijas plānotajā periodā, valsts var kompensēt 40% no kopējās studiju aizdevuma summas, ko izmaksā studējošajiem. Vidēji 2019. gadā valsts vienam studējošajam kompensēja 3836 </w:t>
      </w:r>
      <w:r w:rsidR="001673CC">
        <w:rPr>
          <w:i/>
          <w:iCs/>
        </w:rPr>
        <w:t>euro</w:t>
      </w:r>
      <w:r w:rsidRPr="002A7D65">
        <w:t xml:space="preserve"> no studiju aizdevuma. Studējošie aizdevuma apmaksu pārsvarā uzsāk pusotru līdz divus gadus pēc studiju noslēguma, un apmaksas termiņš ilgst divtik ilgi kā nostudētais laiks.</w:t>
      </w:r>
    </w:p>
    <w:p w14:paraId="3B327358" w14:textId="5EF6EB03" w:rsidR="00E771A9" w:rsidRPr="002A7D65" w:rsidRDefault="00E771A9" w:rsidP="00E771A9">
      <w:r w:rsidRPr="002A7D65">
        <w:t xml:space="preserve">Kopumā 2018./ 2019. akadēmiskajā gadā studiju aizdevumu saņēma 49% pamatstudiju un 13% augstākā līmeņa studiju programmu studējošie. Savukārt vidējā summa, ko katru gadu studējošais kopumā saņem no finansiālā atbalsta mehānismiem, ir 13 000 </w:t>
      </w:r>
      <w:r w:rsidR="001673CC" w:rsidRPr="001673CC">
        <w:rPr>
          <w:i/>
          <w:iCs/>
        </w:rPr>
        <w:t xml:space="preserve">euro </w:t>
      </w:r>
      <w:r w:rsidRPr="002A7D65">
        <w:t>– summu veido stipendija, studējošā aizņēmums un mājokļa pabalsts. Vienlaikus Somija nepiedāvā nodokļu atvieglojumus studējošo vecākiem un ģimenes pabalstus.</w:t>
      </w:r>
    </w:p>
    <w:p w14:paraId="197FC2CD" w14:textId="77777777" w:rsidR="00E771A9" w:rsidRPr="002A7D65" w:rsidRDefault="00E771A9" w:rsidP="00E771A9">
      <w:r w:rsidRPr="002A7D65">
        <w:t xml:space="preserve">Tomēr Somijas augstākās izglītības sistēmai ir būtiska nepilnība ar to, ka tā nenodrošina pietiekami lielu augstākās izglītības pieejamību, lai varētu nodrošināt pietiekamu skaitu ar augstākās izglītības absolventiem. Šī iemesla dēļ </w:t>
      </w:r>
      <w:r w:rsidRPr="002A7D65">
        <w:rPr>
          <w:b/>
        </w:rPr>
        <w:t>Somija ir valsts ar zemāko iedzīvotāju īpatsvaru ar augstāko izglītību Baltijas un Ziemeļvalstu reģionā</w:t>
      </w:r>
      <w:r w:rsidRPr="002A7D65">
        <w:t xml:space="preserve">. Tā iemesla dēļ, ka pastāv galvenokārt tikai valsts apmaksātas studijas un ir nepietiekams ieguldījums no valsts, lai palielinātu studiju vietu skaitu, </w:t>
      </w:r>
      <w:r w:rsidRPr="002A7D65">
        <w:rPr>
          <w:b/>
        </w:rPr>
        <w:t>Somijas reflektantiem nepieciešams vairākus gadus pēc kārtas censties iestāties augstskolā</w:t>
      </w:r>
      <w:r w:rsidRPr="002A7D65">
        <w:t>. Šī iemesla dēļ arī Somijā vidējais vecums, kurā uzsāk studijas, ir 24 gadi, salīdzinājumā ar 22 gadiem vidēji OECD</w:t>
      </w:r>
      <w:r w:rsidRPr="002A7D65">
        <w:rPr>
          <w:rStyle w:val="FootnoteReference"/>
        </w:rPr>
        <w:footnoteReference w:id="50"/>
      </w:r>
      <w:r w:rsidRPr="002A7D65">
        <w:t>.</w:t>
      </w:r>
    </w:p>
    <w:p w14:paraId="5560DF0E" w14:textId="77777777" w:rsidR="00E771A9" w:rsidRPr="002A7D65" w:rsidRDefault="00E771A9" w:rsidP="00E771A9">
      <w:pPr>
        <w:ind w:firstLine="0"/>
      </w:pPr>
    </w:p>
    <w:p w14:paraId="0059F8DA" w14:textId="77777777" w:rsidR="00E771A9" w:rsidRPr="002A7D65" w:rsidRDefault="00E771A9" w:rsidP="00491B9A">
      <w:pPr>
        <w:pStyle w:val="Heading4"/>
      </w:pPr>
      <w:r w:rsidRPr="002A7D65">
        <w:t>Norvēģija</w:t>
      </w:r>
    </w:p>
    <w:p w14:paraId="16AC71BB" w14:textId="157BFF6F" w:rsidR="00E771A9" w:rsidRPr="002A7D65" w:rsidRDefault="00E771A9" w:rsidP="00E771A9">
      <w:pPr>
        <w:spacing w:after="160"/>
        <w:ind w:firstLine="0"/>
        <w:jc w:val="left"/>
      </w:pPr>
      <w:r w:rsidRPr="002A7D65">
        <w:t xml:space="preserve">Bezmaksas studijas koledžas, pamatstudiju un augstākā līmeņa studiju programmās Norvēģijas valsts AII ir pieejamas gan pilna, gan nepilna laika studējošajiem. AII ir tiesības noteikt studiju maksu par noteiktiem specializētiem tālākizglītības studiju kursiem, kas ir paredzēti nodarbinātām personām. Savukārt privātās AII, kuras saņem finansējumu no valsts, lielākoties studējošajiem nosaka studiju maksu, kas 2019. gadā bija 382 līdz 8883 </w:t>
      </w:r>
      <w:r w:rsidR="001673CC">
        <w:rPr>
          <w:i/>
          <w:iCs/>
        </w:rPr>
        <w:t>euro</w:t>
      </w:r>
      <w:r w:rsidRPr="002A7D65">
        <w:t xml:space="preserve">. Iekasēto studiju maksu AII ir jāizmanto labāka studiju procesa nodrošināšanai. </w:t>
      </w:r>
    </w:p>
    <w:p w14:paraId="7093BEB1" w14:textId="77777777" w:rsidR="00E771A9" w:rsidRPr="002A7D65" w:rsidRDefault="00E771A9" w:rsidP="00E771A9">
      <w:pPr>
        <w:spacing w:after="160"/>
        <w:ind w:firstLine="0"/>
        <w:jc w:val="left"/>
      </w:pPr>
      <w:r w:rsidRPr="002A7D65">
        <w:t>Kopumā 2019. gadā 16% studējošo izvēlējās studēt valsts atbalstītās privātajās AII un līdz ar to maksāt par savām studijām. Vienlaikus uz ārvalstu studējošajiem attiecas tādi paši principi kā Norvēģijas pilsoņiem, tādējādi arī citu valstu pilsoņiem nav jāmaksā par studijām valsts AII.</w:t>
      </w:r>
    </w:p>
    <w:p w14:paraId="6F077780" w14:textId="3956EF23" w:rsidR="00E771A9" w:rsidRPr="002A7D65" w:rsidRDefault="00E771A9" w:rsidP="00E771A9">
      <w:pPr>
        <w:spacing w:after="160"/>
        <w:ind w:firstLine="0"/>
        <w:jc w:val="left"/>
      </w:pPr>
      <w:r w:rsidRPr="002A7D65">
        <w:rPr>
          <w:noProof/>
        </w:rPr>
        <w:lastRenderedPageBreak/>
        <w:drawing>
          <wp:anchor distT="0" distB="0" distL="114300" distR="114300" simplePos="0" relativeHeight="251674624" behindDoc="0" locked="0" layoutInCell="1" allowOverlap="1" wp14:anchorId="0E914223" wp14:editId="75A2F208">
            <wp:simplePos x="0" y="0"/>
            <wp:positionH relativeFrom="column">
              <wp:posOffset>758190</wp:posOffset>
            </wp:positionH>
            <wp:positionV relativeFrom="paragraph">
              <wp:posOffset>375889</wp:posOffset>
            </wp:positionV>
            <wp:extent cx="4215384" cy="2157984"/>
            <wp:effectExtent l="0" t="0" r="0" b="0"/>
            <wp:wrapTopAndBottom/>
            <wp:docPr id="517036152" name="Picture 517036152" descr="A picture containing text, screenshot, number,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036152" name="Picture 517036152" descr="A picture containing text, screenshot, number, font&#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15384" cy="2157984"/>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7D65">
        <w:rPr>
          <w:i/>
          <w:iCs/>
        </w:rPr>
        <w:t>15. attēls:</w:t>
      </w:r>
      <w:r w:rsidRPr="002A7D65">
        <w:rPr>
          <w:b/>
          <w:bCs/>
        </w:rPr>
        <w:t xml:space="preserve"> Studiju maksa un finansiālie atbalsta mehānismi studējošajiem Norvēģijā</w:t>
      </w:r>
      <w:r w:rsidRPr="002A7D65">
        <w:rPr>
          <w:b/>
          <w:bCs/>
        </w:rPr>
        <w:br/>
      </w:r>
      <w:r w:rsidRPr="002A7D65">
        <w:t xml:space="preserve">(Avots: </w:t>
      </w:r>
      <w:r w:rsidRPr="002A7D65">
        <w:fldChar w:fldCharType="begin"/>
      </w:r>
      <w:r w:rsidRPr="002A7D65">
        <w:instrText xml:space="preserve"> ADDIN ZOTERO_ITEM CSL_CITATION {"citationID":"VK8TCVZ4","properties":{"formattedCitation":"(European Commission/EACEA/Eurydice, 2020)","plainCitation":"(European Commission/EACEA/Eurydice, 2020)","noteIndex":0},"citationItems":[{"id":"1UWm9USB/MqcCNpO3","uris":["http://zotero.org/users/7276493/items/SYCBS86D"],"uri":["http://zotero.org/users/7276493/items/SYCBS86D"],"itemData":{"id":15,"type":"book","event-place":"Luxembourg","ISBN":"978-92-9484-361-6","language":"English","publisher":"Publications Office of the European Union","publisher-place":"Luxembourg","source":"Open WorldCat","title":"National Student Fee and Support Systems in European Higher Education – 2020/21","title-short":"National student fee and support systems in European higher education","URL":"https://eacea.ec.europa.eu/national-policies/eurydice/content/national-student-fee-and-support-systems-european-higher-education-202021_en","author":[{"literal":"European Commission/EACEA/Eurydice"}],"accessed":{"date-parts":[["2020",12,20]]},"issued":{"date-parts":[["2020"]]}}}],"schema":"https://github.com/citation-style-language/schema/raw/master/csl-citation.json"} </w:instrText>
      </w:r>
      <w:r w:rsidRPr="002A7D65">
        <w:fldChar w:fldCharType="separate"/>
      </w:r>
      <w:r w:rsidRPr="002A7D65">
        <w:t>(</w:t>
      </w:r>
      <w:r w:rsidR="00C16B07" w:rsidRPr="00C16B07">
        <w:rPr>
          <w:i/>
          <w:iCs/>
        </w:rPr>
        <w:t>Euro</w:t>
      </w:r>
      <w:r w:rsidRPr="002A7D65">
        <w:t>pean Commission/EACEA/Eurydice, 2020)</w:t>
      </w:r>
      <w:r w:rsidRPr="002A7D65">
        <w:fldChar w:fldCharType="end"/>
      </w:r>
      <w:r w:rsidRPr="002A7D65">
        <w:t>)</w:t>
      </w:r>
    </w:p>
    <w:p w14:paraId="0C806ECD" w14:textId="7B827175" w:rsidR="00E771A9" w:rsidRPr="002A7D65" w:rsidRDefault="00E771A9" w:rsidP="00E771A9">
      <w:pPr>
        <w:spacing w:after="160"/>
        <w:ind w:firstLine="0"/>
        <w:jc w:val="left"/>
      </w:pPr>
      <w:r w:rsidRPr="002A7D65">
        <w:t xml:space="preserve">Pilna un nepilna laika norvēģu studējošie var pretendēt uz tā dēvēto pamata atbalstu, ko sākotnēji piešķir aizdevuma formā – maksimālā ikmēneša atbalsta summa ir 1072 </w:t>
      </w:r>
      <w:r w:rsidR="001673CC">
        <w:rPr>
          <w:i/>
          <w:iCs/>
        </w:rPr>
        <w:t>euro</w:t>
      </w:r>
      <w:r w:rsidRPr="002A7D65">
        <w:t xml:space="preserve">. AII un profesionālo koledžu pilna laika studējošajiem 2020./ 2021. akadēmiskajā gadā atbalstu piešķīra 11 mēnešu garumā. 40% no piešķirtā aizdevuma apmēra var konvertēt par valsts izglītības dotāciju tiem studējošajiem, kuri nedzīvo pie vecākiem un veiksmīgi nokārto eksāmenus. </w:t>
      </w:r>
    </w:p>
    <w:p w14:paraId="36276758" w14:textId="1407A9EA" w:rsidR="00E771A9" w:rsidRPr="002A7D65" w:rsidRDefault="00E771A9" w:rsidP="00E771A9">
      <w:pPr>
        <w:spacing w:after="160"/>
        <w:ind w:firstLine="0"/>
        <w:jc w:val="left"/>
      </w:pPr>
      <w:r w:rsidRPr="002A7D65">
        <w:t xml:space="preserve">Nosakot, kādu daļu no aizdevuma apmēra veidos valsts dotācija, ņem vērā, piemēram, studējošā ienākumu apmēru. Maksimālais ikgadējais dotācijas apmērs 2020./ 2021. akadēmiskajā gadā bija 4719 </w:t>
      </w:r>
      <w:r w:rsidR="001673CC">
        <w:rPr>
          <w:i/>
          <w:iCs/>
        </w:rPr>
        <w:t>euro</w:t>
      </w:r>
      <w:r w:rsidRPr="002A7D65">
        <w:t>, kas nepilna laika studējošajiem ir aptuveni uz pusi mazāks.</w:t>
      </w:r>
    </w:p>
    <w:p w14:paraId="20B46FA4" w14:textId="3EF64391" w:rsidR="00E771A9" w:rsidRPr="002A7D65" w:rsidRDefault="00E771A9" w:rsidP="00E771A9">
      <w:pPr>
        <w:spacing w:after="160"/>
        <w:ind w:firstLine="0"/>
        <w:jc w:val="left"/>
      </w:pPr>
      <w:r w:rsidRPr="002A7D65">
        <w:t xml:space="preserve">Ikmēneša pabalstu 167 </w:t>
      </w:r>
      <w:r w:rsidR="001673CC">
        <w:rPr>
          <w:i/>
          <w:iCs/>
        </w:rPr>
        <w:t>euro</w:t>
      </w:r>
      <w:r w:rsidRPr="002A7D65">
        <w:t xml:space="preserve"> var saņemt studējošie, kuri audzina līdz 16 gadus vecu bērnu, un bērnu kopšanas atvaļinājumā esošās personas pabalstu var saņemt teju piecu gadu garumā. Tāpat studiju aizdevumu sistēma paredz, ka studējošie, kuri slimības dēļ nevar studēt, var lūgt tiem piešķirto aizdevumu konvertēt par valsts izglītības dotāciju par periodu līdz četriem ar pusi mēnešiem. Studējošie ar invaliditāti var saņemt papildu ikmēneša dotāciju 366 </w:t>
      </w:r>
      <w:r w:rsidR="001673CC" w:rsidRPr="001673CC">
        <w:rPr>
          <w:i/>
          <w:iCs/>
        </w:rPr>
        <w:t xml:space="preserve">euro </w:t>
      </w:r>
      <w:r w:rsidRPr="002A7D65">
        <w:t xml:space="preserve">apmērā, ja tie paralēli studijām nevar strādāt un ja tie saņem pamata atbalstu. </w:t>
      </w:r>
    </w:p>
    <w:p w14:paraId="452BA3CB" w14:textId="0C3D6181" w:rsidR="00E771A9" w:rsidRPr="002A7D65" w:rsidRDefault="00E771A9" w:rsidP="00E771A9">
      <w:pPr>
        <w:spacing w:after="160"/>
        <w:ind w:firstLine="0"/>
        <w:jc w:val="left"/>
      </w:pPr>
      <w:r w:rsidRPr="002A7D65">
        <w:t xml:space="preserve">Atbilstoši individuāli sagatavotam plānam aizdevuma atmaksa pārsvarā sākas septiņu mēnešu laikā pēc studiju beigām. Ja studējošajam ir jāatmaksā 28 653 </w:t>
      </w:r>
      <w:r w:rsidR="001673CC">
        <w:rPr>
          <w:i/>
          <w:iCs/>
        </w:rPr>
        <w:t>euro</w:t>
      </w:r>
      <w:r w:rsidRPr="002A7D65">
        <w:t>, tad vidējais pilnas summas atmaksas termiņš sasniedz 20 gadus.</w:t>
      </w:r>
    </w:p>
    <w:p w14:paraId="36378BF2" w14:textId="77777777" w:rsidR="00E771A9" w:rsidRPr="002A7D65" w:rsidRDefault="00E771A9" w:rsidP="00E771A9">
      <w:pPr>
        <w:spacing w:after="160"/>
        <w:ind w:firstLine="0"/>
        <w:jc w:val="left"/>
      </w:pPr>
      <w:r w:rsidRPr="002A7D65">
        <w:lastRenderedPageBreak/>
        <w:t>Norvēģijas normatīvajā regulējumā nav paredzēti nodokļu atvieglojumi studējošo vecākiem un ģimenes pabalsti.</w:t>
      </w:r>
    </w:p>
    <w:p w14:paraId="0C009DA8" w14:textId="77777777" w:rsidR="00E771A9" w:rsidRPr="002A7D65" w:rsidRDefault="00E771A9" w:rsidP="00E771A9">
      <w:pPr>
        <w:spacing w:after="160"/>
        <w:ind w:firstLine="0"/>
        <w:jc w:val="left"/>
      </w:pPr>
      <w:r w:rsidRPr="002A7D65">
        <w:t xml:space="preserve">Norvēģijā vidēji 70% no augstākās izglītības finansējuma ir bāzes finansējums, bet vidēji 30% tiek piešķirts kā snieguma finansējums. Bāzes finansējums tiek piešķirts, balstoties uz vēsturiskajiem principiem, savukārt snieguma finansējums tiek piešķirts, balstoties uz apgūto kredītpunktu skaitu, absolventu skaitu, studējošo mobilitāti, sagatavoto doktoru skaitu, publikāciju skaitu, ES finansējumu, Norvēģijas Zinātnes padomes finansējumu, kā arī papildu piesaistīto finansējumu </w:t>
      </w:r>
      <w:r w:rsidRPr="002A7D65">
        <w:fldChar w:fldCharType="begin"/>
      </w:r>
      <w:r w:rsidRPr="002A7D65">
        <w:instrText xml:space="preserve"> ADDIN ZOTERO_ITEM CSL_CITATION {"citationID":"QyhIckaP","properties":{"formattedCitation":"(Eurydice, 2017c)","plainCitation":"(Eurydice, 2017c)","noteIndex":0},"citationItems":[{"id":875,"uris":["http://zotero.org/users/3405954/items/53WNI53C"],"uri":["http://zotero.org/users/3405954/items/53WNI53C"],"itemData":{"id":875,"type":"webpage","abstract":"Higher Education Funding","container-title":"Eurydice - European Commission","genre":"Text","language":"en","title":"Norwegian Higher Education Funding","URL":"https://eacea.ec.europa.eu/national-policies/eurydice/content/higher-education-funding-54_en","author":[{"family":"Eurydice","given":""}],"accessed":{"date-parts":[["2020",12,28]]},"issued":{"date-parts":[["2017",10,9]]}}}],"schema":"https://github.com/citation-style-language/schema/raw/master/csl-citation.json"} </w:instrText>
      </w:r>
      <w:r w:rsidRPr="002A7D65">
        <w:fldChar w:fldCharType="separate"/>
      </w:r>
      <w:r w:rsidRPr="002A7D65">
        <w:t>(Eurydice, 2017c)</w:t>
      </w:r>
      <w:r w:rsidRPr="002A7D65">
        <w:fldChar w:fldCharType="end"/>
      </w:r>
      <w:r w:rsidRPr="002A7D65">
        <w:t xml:space="preserve">. </w:t>
      </w:r>
    </w:p>
    <w:p w14:paraId="0EACE83D" w14:textId="77777777" w:rsidR="00E771A9" w:rsidRPr="002A7D65" w:rsidRDefault="00E771A9" w:rsidP="00E771A9">
      <w:pPr>
        <w:spacing w:after="160"/>
        <w:ind w:firstLine="0"/>
        <w:jc w:val="left"/>
      </w:pPr>
      <w:r w:rsidRPr="002A7D65">
        <w:t xml:space="preserve">Norvēģijā valsts nosaka konkrētu studiju vietu skaitu katrā AII. Tomēr, sakarā ar to, ka snieguma finansējums ņem vērā absolventu skaitu, iestādes mēdz uzņemt vairāk studējošo, nekā paredzēts </w:t>
      </w:r>
      <w:r w:rsidRPr="002A7D65">
        <w:fldChar w:fldCharType="begin"/>
      </w:r>
      <w:r w:rsidRPr="002A7D65">
        <w:instrText xml:space="preserve"> ADDIN ZOTERO_ITEM CSL_CITATION {"citationID":"bEefvR17","properties":{"formattedCitation":"(Elken et al., 2015)","plainCitation":"(Elken et al., 2015)","noteIndex":0},"citationItems":[{"id":877,"uris":["http://zotero.org/users/3405954/items/ZHLIEVA6"],"uri":["http://zotero.org/users/3405954/items/ZHLIEVA6"],"itemData":{"id":877,"type":"article","language":"English","note":"ISBN: 9789289340526 9789289340533\nOCLC: 1220919671","source":"Open WorldCat","title":"Higher Education in the Nordic Countries: Evaluation of the Nordic agreement on admission to higher education","title-short":"Higher Education in the Nordic Countries","author":[{"family":"Elken","given":"Mari"},{"family":"Hovdhaugen","given":"Elisabeth"},{"family":"Wiers-Jenssen","given":"Jannecke"}],"issued":{"date-parts":[["2015"]]}}}],"schema":"https://github.com/citation-style-language/schema/raw/master/csl-citation.json"} </w:instrText>
      </w:r>
      <w:r w:rsidRPr="002A7D65">
        <w:fldChar w:fldCharType="separate"/>
      </w:r>
      <w:r w:rsidRPr="002A7D65">
        <w:t>(Elken et al., 2015)</w:t>
      </w:r>
      <w:r w:rsidRPr="002A7D65">
        <w:fldChar w:fldCharType="end"/>
      </w:r>
      <w:r w:rsidRPr="002A7D65">
        <w:t>.</w:t>
      </w:r>
    </w:p>
    <w:p w14:paraId="1A561419" w14:textId="77777777" w:rsidR="00E771A9" w:rsidRPr="002A7D65" w:rsidRDefault="00E771A9" w:rsidP="00491B9A">
      <w:pPr>
        <w:pStyle w:val="Heading4"/>
      </w:pPr>
      <w:r w:rsidRPr="002A7D65">
        <w:t>Zviedrija</w:t>
      </w:r>
    </w:p>
    <w:p w14:paraId="734DD5CD" w14:textId="77777777" w:rsidR="00E771A9" w:rsidRPr="002A7D65" w:rsidRDefault="00E771A9" w:rsidP="00E771A9">
      <w:pPr>
        <w:spacing w:after="160"/>
        <w:ind w:firstLine="0"/>
        <w:jc w:val="left"/>
      </w:pPr>
      <w:r w:rsidRPr="002A7D65">
        <w:t xml:space="preserve">Koledžas, pamatstudiju un augstākā līmeņa studiju programmu apguve Zviedrijas pilsoņiem, personām no ES, EEZ un Eiropas Brīvās tirdzniecības asociācijas valstīm (turpmāk – EBTA) ir bez maksas. Studiju maksu var piemērot, ja persona studē kopīgās vai daudzpakāpju programmās, ja maksa nenonāk valsts institūcijas rīcībā un nav saistīta ar studiju programmas daļu, kuras organizēšanā ir iesaistīta valsts. Savukārt studējošajiem, kuri nenāk no ES, EEZ vai EBTA valstīm, ir jāsedz AII noteiktā studiju maksa. </w:t>
      </w:r>
    </w:p>
    <w:p w14:paraId="0C1007B2" w14:textId="24587F81" w:rsidR="00E771A9" w:rsidRPr="002A7D65" w:rsidRDefault="00E771A9" w:rsidP="00E771A9">
      <w:pPr>
        <w:spacing w:after="160"/>
        <w:ind w:firstLine="0"/>
        <w:jc w:val="left"/>
      </w:pPr>
      <w:r w:rsidRPr="002A7D65">
        <w:rPr>
          <w:noProof/>
        </w:rPr>
        <w:drawing>
          <wp:anchor distT="0" distB="0" distL="114300" distR="114300" simplePos="0" relativeHeight="251675648" behindDoc="0" locked="0" layoutInCell="1" allowOverlap="1" wp14:anchorId="072C1B64" wp14:editId="0CED288E">
            <wp:simplePos x="0" y="0"/>
            <wp:positionH relativeFrom="column">
              <wp:posOffset>758190</wp:posOffset>
            </wp:positionH>
            <wp:positionV relativeFrom="paragraph">
              <wp:posOffset>361021</wp:posOffset>
            </wp:positionV>
            <wp:extent cx="4215384" cy="2157984"/>
            <wp:effectExtent l="0" t="0" r="0" b="0"/>
            <wp:wrapTopAndBottom/>
            <wp:docPr id="8" name="Picture 8" descr="A screenshot of a computer scree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reenshot of a computer screen&#10;&#10;Description automatically generated with low confidenc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215384" cy="2157984"/>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7D65">
        <w:rPr>
          <w:i/>
          <w:iCs/>
        </w:rPr>
        <w:t>17. attēls:</w:t>
      </w:r>
      <w:r w:rsidRPr="002A7D65">
        <w:rPr>
          <w:b/>
          <w:bCs/>
        </w:rPr>
        <w:t xml:space="preserve"> Studiju maksa un finansiālie atbalsta mehānismi studējošajiem Zviedrijā</w:t>
      </w:r>
      <w:r w:rsidRPr="002A7D65">
        <w:rPr>
          <w:b/>
          <w:bCs/>
        </w:rPr>
        <w:br/>
      </w:r>
      <w:r w:rsidRPr="002A7D65">
        <w:t xml:space="preserve">(Avots: </w:t>
      </w:r>
      <w:r w:rsidRPr="002A7D65">
        <w:fldChar w:fldCharType="begin"/>
      </w:r>
      <w:r w:rsidRPr="002A7D65">
        <w:instrText xml:space="preserve"> ADDIN ZOTERO_ITEM CSL_CITATION {"citationID":"N5BNsz5z","properties":{"formattedCitation":"(European Commission/EACEA/Eurydice, 2020)","plainCitation":"(European Commission/EACEA/Eurydice, 2020)","noteIndex":0},"citationItems":[{"id":"1UWm9USB/MqcCNpO3","uris":["http://zotero.org/users/7276493/items/SYCBS86D"],"uri":["http://zotero.org/users/7276493/items/SYCBS86D"],"itemData":{"id":15,"type":"book","event-place":"Luxembourg","ISBN":"978-92-9484-361-6","language":"English","publisher":"Publications Office of the European Union","publisher-place":"Luxembourg","source":"Open WorldCat","title":"National Student Fee and Support Systems in European Higher Education – 2020/21","title-short":"National student fee and support systems in European higher education","URL":"https://eacea.ec.europa.eu/national-policies/eurydice/content/national-student-fee-and-support-systems-european-higher-education-202021_en","author":[{"literal":"European Commission/EACEA/Eurydice"}],"accessed":{"date-parts":[["2020",12,20]]},"issued":{"date-parts":[["2020"]]}}}],"schema":"https://github.com/citation-style-language/schema/raw/master/csl-citation.json"} </w:instrText>
      </w:r>
      <w:r w:rsidRPr="002A7D65">
        <w:fldChar w:fldCharType="separate"/>
      </w:r>
      <w:r w:rsidRPr="002A7D65">
        <w:t>(</w:t>
      </w:r>
      <w:r w:rsidR="00C16B07" w:rsidRPr="00C16B07">
        <w:rPr>
          <w:i/>
          <w:iCs/>
        </w:rPr>
        <w:t>Euro</w:t>
      </w:r>
      <w:r w:rsidRPr="002A7D65">
        <w:t>pean Commission/EACEA/Eurydice, 2020)</w:t>
      </w:r>
      <w:r w:rsidRPr="002A7D65">
        <w:fldChar w:fldCharType="end"/>
      </w:r>
      <w:r w:rsidRPr="002A7D65">
        <w:t>)</w:t>
      </w:r>
    </w:p>
    <w:p w14:paraId="5E03F2A2" w14:textId="77777777" w:rsidR="00E771A9" w:rsidRPr="002A7D65" w:rsidRDefault="00E771A9" w:rsidP="00E771A9">
      <w:pPr>
        <w:spacing w:after="160"/>
        <w:ind w:firstLine="0"/>
        <w:jc w:val="left"/>
      </w:pPr>
    </w:p>
    <w:p w14:paraId="588008D1" w14:textId="5B093C67" w:rsidR="00E771A9" w:rsidRPr="002A7D65" w:rsidRDefault="00E771A9" w:rsidP="00E771A9">
      <w:pPr>
        <w:spacing w:after="160"/>
        <w:ind w:firstLine="0"/>
        <w:jc w:val="left"/>
      </w:pPr>
      <w:r w:rsidRPr="002A7D65">
        <w:t xml:space="preserve">Visiem pilna laika studējošajiem neatkarīgi no vecāku ienākumu līmeņa ir pieejama stipendija 80 </w:t>
      </w:r>
      <w:r w:rsidR="001673CC" w:rsidRPr="001673CC">
        <w:rPr>
          <w:i/>
          <w:iCs/>
        </w:rPr>
        <w:t xml:space="preserve">euro </w:t>
      </w:r>
      <w:r w:rsidRPr="002A7D65">
        <w:t xml:space="preserve">apmērā, kuru izmaksā reizi nedēļā (320 </w:t>
      </w:r>
      <w:r w:rsidR="001673CC" w:rsidRPr="001673CC">
        <w:rPr>
          <w:i/>
          <w:iCs/>
        </w:rPr>
        <w:t xml:space="preserve">euro </w:t>
      </w:r>
      <w:r w:rsidRPr="002A7D65">
        <w:t xml:space="preserve">mēnesī). Viena gada ietvaros to izmaksā 40 reizes, bet ne ilgāk kā sešus gadus. Maksimālais gada griezumā izmaksājamās stipendijas apmērs ir 3209 un 4811 </w:t>
      </w:r>
      <w:r w:rsidR="001673CC" w:rsidRPr="001673CC">
        <w:rPr>
          <w:i/>
          <w:iCs/>
        </w:rPr>
        <w:t xml:space="preserve">euro </w:t>
      </w:r>
      <w:r w:rsidRPr="002A7D65">
        <w:t>robežās – to nosaka atkarībā no tā, vai studējošajam ir bērni un to daudzuma. Aptuveni 71% no visiem studējošajiem 2018. gadā saņēma stipendiju – 88% no pilna laika un 26% no nepilna laika studējošajiem.</w:t>
      </w:r>
    </w:p>
    <w:p w14:paraId="42DF1D35" w14:textId="77777777" w:rsidR="00E771A9" w:rsidRPr="002A7D65" w:rsidRDefault="00E771A9" w:rsidP="00E771A9">
      <w:pPr>
        <w:spacing w:after="160"/>
        <w:ind w:firstLine="0"/>
        <w:jc w:val="left"/>
      </w:pPr>
      <w:r w:rsidRPr="002A7D65">
        <w:t xml:space="preserve">Lai pretendētu uz stipendiju vai zemāk tekstā minēto aizdevumu, studējošajam ir nepieciešams apgūt vismaz 50% no plānotās pilna laika slodzes. Ja studējošais vēlas stipendiju vai aizdevumu saņemt arī nākamajā studiju semestrī, tam ir jāiegūst vismaz 62,5% no nepieciešamā ECTS apjoma. </w:t>
      </w:r>
    </w:p>
    <w:p w14:paraId="04704795" w14:textId="059DAB0B" w:rsidR="00E771A9" w:rsidRPr="002A7D65" w:rsidRDefault="00E771A9" w:rsidP="00E771A9">
      <w:pPr>
        <w:spacing w:after="160"/>
        <w:ind w:firstLine="0"/>
        <w:jc w:val="left"/>
      </w:pPr>
      <w:r w:rsidRPr="002A7D65">
        <w:t xml:space="preserve">Visiem pilna laika studējošajiem sešu gadu studiju periodam ir iespējams pieteikties valsts garantētam aizdevumam. Tā apmērs nedēļā sasniedz 184 </w:t>
      </w:r>
      <w:r w:rsidR="001673CC" w:rsidRPr="001673CC">
        <w:rPr>
          <w:i/>
          <w:iCs/>
        </w:rPr>
        <w:t xml:space="preserve">euro </w:t>
      </w:r>
      <w:r w:rsidRPr="002A7D65">
        <w:t xml:space="preserve">(736 </w:t>
      </w:r>
      <w:r w:rsidR="001673CC" w:rsidRPr="001673CC">
        <w:rPr>
          <w:i/>
          <w:iCs/>
        </w:rPr>
        <w:t xml:space="preserve">euro </w:t>
      </w:r>
      <w:r w:rsidRPr="002A7D65">
        <w:t xml:space="preserve">mēnesī), ko gada griezumā izmaksā 40 reizes, un vidēji gadā studējošajam tiek izmaksāti 7376 </w:t>
      </w:r>
      <w:r w:rsidR="001673CC">
        <w:rPr>
          <w:i/>
          <w:iCs/>
        </w:rPr>
        <w:t>euro</w:t>
      </w:r>
      <w:r w:rsidRPr="002A7D65">
        <w:t>. Studējošajam aizdevuma summa ir jāsāk apmaksāt ne ātrāk kā sešus mēnešus pēc pēdējā maksājuma saņemšanas, bet pilna aizdevuma apmaksa ir jāveic 25 gadu laikā vai līdz brīdim, kad persona sasniedz 60 gadu vecumu. Apmēram 55% no visiem studējošajiem 2018. gadā saņēma studiju aizdevumu.</w:t>
      </w:r>
    </w:p>
    <w:p w14:paraId="6276E3FC" w14:textId="77777777" w:rsidR="00E771A9" w:rsidRPr="002A7D65" w:rsidRDefault="00E771A9" w:rsidP="00E771A9">
      <w:pPr>
        <w:spacing w:after="160"/>
        <w:ind w:firstLine="0"/>
        <w:jc w:val="left"/>
      </w:pPr>
      <w:r w:rsidRPr="002A7D65">
        <w:t>Covid-19 pandēmijas apstākļos studējošajiem turpina izmaksāt stipendiju un aizdevumu arī tad, ja AII ir slēgta vai ja tā var piedāvāt tikai nepilna laika vai attālinātas studijas. Bez tam nepieciešamības gadījumā var uz laiku atlikt vai samazināt summu, ko studējošais regulāri maksā par iepriekš saņemto aizdevumu.</w:t>
      </w:r>
    </w:p>
    <w:p w14:paraId="061537FB" w14:textId="77777777" w:rsidR="00E771A9" w:rsidRPr="002A7D65" w:rsidRDefault="00E771A9" w:rsidP="00E771A9">
      <w:pPr>
        <w:spacing w:after="160"/>
        <w:ind w:firstLine="0"/>
        <w:jc w:val="left"/>
      </w:pPr>
      <w:r w:rsidRPr="002A7D65">
        <w:t>Studējošajiem ar bērniem ir iespējams saņemt papildu stipendiju. Savukārt papildu aizdevumu var saņemt studējošie saistībā ar papildu studiju izdevumiem, piemēram, ja persona studē ārzemēs. Koledžās studējošie var pretendēt uz tādu pašu atbalstu kā pamatstudijās un augstākā līmeņa studijās studējošie. Savukārt nodokļu atvieglojumi studējošo vecākiem un ģimenes pabalsti Zviedrijā nav pieejami.</w:t>
      </w:r>
    </w:p>
    <w:p w14:paraId="77114E34" w14:textId="77777777" w:rsidR="00E771A9" w:rsidRPr="002A7D65" w:rsidRDefault="00E771A9" w:rsidP="00E771A9">
      <w:pPr>
        <w:spacing w:after="160"/>
        <w:ind w:firstLine="0"/>
        <w:jc w:val="left"/>
      </w:pPr>
      <w:r w:rsidRPr="002A7D65">
        <w:t xml:space="preserve">Zviedrijas AII tiek finansētas atbilstoši to uzņemto studentu skaitam. Tāpat arī Zviedrijā pastāv snieguma komponente, kas sniedz papildu finansējumu atbilstoši studējošo sasniegumiem </w:t>
      </w:r>
      <w:r w:rsidRPr="002A7D65">
        <w:fldChar w:fldCharType="begin"/>
      </w:r>
      <w:r w:rsidRPr="002A7D65">
        <w:instrText xml:space="preserve"> ADDIN ZOTERO_ITEM CSL_CITATION {"citationID":"pZwMgSDG","properties":{"formattedCitation":"(Eurydice, 2017d)","plainCitation":"(Eurydice, 2017d)","noteIndex":0},"citationItems":[{"id":880,"uris":["http://zotero.org/users/3405954/items/K27NVKLC"],"uri":["http://zotero.org/users/3405954/items/K27NVKLC"],"itemData":{"id":880,"type":"webpage","abstract":"Higher Education","container-title":"Eurydice - European Commission","genre":"Text","language":"en","title":"Swedish Higher Education","URL":"https://eacea.ec.europa.eu/national-policies/eurydice/content/higher-education-80_en","author":[{"family":"Eurydice","given":""}],"accessed":{"date-parts":[["2020",12,28]]},"issued":{"date-parts":[["2017",10,10]]}}}],"schema":"https://github.com/citation-style-language/schema/raw/master/csl-citation.json"} </w:instrText>
      </w:r>
      <w:r w:rsidRPr="002A7D65">
        <w:fldChar w:fldCharType="separate"/>
      </w:r>
      <w:r w:rsidRPr="002A7D65">
        <w:t>(Eurydice, 2017d)</w:t>
      </w:r>
      <w:r w:rsidRPr="002A7D65">
        <w:fldChar w:fldCharType="end"/>
      </w:r>
      <w:r w:rsidRPr="002A7D65">
        <w:t xml:space="preserve">. Zviedrijā katrai tematiskajai jomai ir savas izmaksas, ko ņem vērā, piešķirot finansējumu. Tāpat arī Zviedrijas valdība katru gadu nosaka maksimālo finansējumu katrai iestādei un tematiskajai jomai, tādā veidā nosakot arī maksimālo studējošo skaitu, ko drīkst uzņemt </w:t>
      </w:r>
      <w:r w:rsidRPr="002A7D65">
        <w:fldChar w:fldCharType="begin"/>
      </w:r>
      <w:r w:rsidRPr="002A7D65">
        <w:instrText xml:space="preserve"> ADDIN ZOTERO_ITEM CSL_CITATION {"citationID":"hdJRM64L","properties":{"formattedCitation":"(Swedish Higher Education Auhtority, 2018)","plainCitation":"(Swedish Higher Education Auhtority, 2018)","noteIndex":0},"citationItems":[{"id":883,"uris":["http://zotero.org/users/3405954/items/7FV33VZP"],"uri":["http://zotero.org/users/3405954/items/7FV33VZP"],"itemData":{"id":883,"type":"report","event-place":"Stockholm","language":"en","page":"70","publisher":"Swedish Higher Education Authority","publisher-place":"Stockholm","source":"Zotero","title":"Higher education in Sweden 2018 status report","author":[{"family":"Swedish Higher Education Auhtority","given":""}],"issued":{"date-parts":[["2018"]]}}}],"schema":"https://github.com/citation-style-language/schema/raw/master/csl-citation.json"} </w:instrText>
      </w:r>
      <w:r w:rsidRPr="002A7D65">
        <w:fldChar w:fldCharType="separate"/>
      </w:r>
      <w:r w:rsidRPr="002A7D65">
        <w:t>(Swedish Higher Education Auhtority, 2018)</w:t>
      </w:r>
      <w:r w:rsidRPr="002A7D65">
        <w:fldChar w:fldCharType="end"/>
      </w:r>
      <w:r w:rsidRPr="002A7D65">
        <w:t xml:space="preserve">. </w:t>
      </w:r>
    </w:p>
    <w:p w14:paraId="6DF21FAB" w14:textId="77777777" w:rsidR="00E771A9" w:rsidRPr="002A7D65" w:rsidRDefault="00E771A9" w:rsidP="00491B9A">
      <w:pPr>
        <w:pStyle w:val="Heading4"/>
      </w:pPr>
      <w:r w:rsidRPr="002A7D65">
        <w:lastRenderedPageBreak/>
        <w:t xml:space="preserve">Dānija </w:t>
      </w:r>
    </w:p>
    <w:p w14:paraId="7CB5C9D8" w14:textId="77777777" w:rsidR="00E771A9" w:rsidRPr="002A7D65" w:rsidRDefault="00E771A9" w:rsidP="00E771A9">
      <w:pPr>
        <w:spacing w:after="160"/>
        <w:ind w:firstLine="0"/>
        <w:jc w:val="left"/>
      </w:pPr>
      <w:r w:rsidRPr="002A7D65">
        <w:t>Pilna laika studējošajiem, kuri ir Dānijas pilsoņi vai nāk no ES vai EEZ valstīm, nav nepieciešams maksāt par studijām koledžas</w:t>
      </w:r>
      <w:r w:rsidRPr="002A7D65">
        <w:rPr>
          <w:vertAlign w:val="superscript"/>
        </w:rPr>
        <w:footnoteReference w:id="51"/>
      </w:r>
      <w:r w:rsidRPr="002A7D65">
        <w:t>, pamatstudiju un augstākā līmeņa studiju programmās. Vienlaikus šajās studiju programmās nepastāv nepilna laika studiju iespējas. Nepilna laika studijas Dānijā ir iespējamas pieaugušo izglītības un tālākizglītības programmās, par kurām piemēro studiju maksu. Tāpat studiju maksu piemēro studējošajiem, kuri Dānijā ir ieradušies ārpus ES vai EEZ valstu loka. Šajos gadījumos studiju maksas apmēru nosaka AII.</w:t>
      </w:r>
    </w:p>
    <w:p w14:paraId="650D64DE" w14:textId="57313A04" w:rsidR="00E771A9" w:rsidRPr="002A7D65" w:rsidRDefault="00E771A9" w:rsidP="00E771A9">
      <w:pPr>
        <w:spacing w:after="160"/>
        <w:ind w:firstLine="0"/>
        <w:jc w:val="left"/>
      </w:pPr>
      <w:r w:rsidRPr="002A7D65">
        <w:rPr>
          <w:noProof/>
        </w:rPr>
        <w:drawing>
          <wp:anchor distT="0" distB="0" distL="114300" distR="114300" simplePos="0" relativeHeight="251673600" behindDoc="0" locked="0" layoutInCell="1" allowOverlap="1" wp14:anchorId="6485905F" wp14:editId="7300787B">
            <wp:simplePos x="0" y="0"/>
            <wp:positionH relativeFrom="column">
              <wp:posOffset>540385</wp:posOffset>
            </wp:positionH>
            <wp:positionV relativeFrom="paragraph">
              <wp:posOffset>347716</wp:posOffset>
            </wp:positionV>
            <wp:extent cx="4589780" cy="2157730"/>
            <wp:effectExtent l="0" t="0" r="1270" b="0"/>
            <wp:wrapTopAndBottom/>
            <wp:docPr id="1707643237" name="Picture 1707643237"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643237" name="Picture 1707643237" descr="A screenshot of a computer&#10;&#10;Description automatically generated with low confidence"/>
                    <pic:cNvPicPr/>
                  </pic:nvPicPr>
                  <pic:blipFill>
                    <a:blip r:embed="rId27"/>
                    <a:stretch>
                      <a:fillRect/>
                    </a:stretch>
                  </pic:blipFill>
                  <pic:spPr>
                    <a:xfrm>
                      <a:off x="0" y="0"/>
                      <a:ext cx="4589780" cy="2157730"/>
                    </a:xfrm>
                    <a:prstGeom prst="rect">
                      <a:avLst/>
                    </a:prstGeom>
                  </pic:spPr>
                </pic:pic>
              </a:graphicData>
            </a:graphic>
            <wp14:sizeRelH relativeFrom="margin">
              <wp14:pctWidth>0</wp14:pctWidth>
            </wp14:sizeRelH>
            <wp14:sizeRelV relativeFrom="margin">
              <wp14:pctHeight>0</wp14:pctHeight>
            </wp14:sizeRelV>
          </wp:anchor>
        </w:drawing>
      </w:r>
      <w:r w:rsidRPr="002A7D65">
        <w:rPr>
          <w:i/>
          <w:iCs/>
        </w:rPr>
        <w:t>13. attēls:</w:t>
      </w:r>
      <w:r w:rsidRPr="002A7D65">
        <w:rPr>
          <w:b/>
          <w:bCs/>
        </w:rPr>
        <w:t xml:space="preserve"> Studiju maksa un finansiālie atbalsta mehānismi studējošajiem Dānijā</w:t>
      </w:r>
      <w:r w:rsidRPr="002A7D65">
        <w:rPr>
          <w:b/>
          <w:bCs/>
        </w:rPr>
        <w:br/>
      </w:r>
      <w:r w:rsidRPr="002A7D65">
        <w:t xml:space="preserve">(Avots: </w:t>
      </w:r>
      <w:r w:rsidRPr="002A7D65">
        <w:fldChar w:fldCharType="begin"/>
      </w:r>
      <w:r w:rsidRPr="002A7D65">
        <w:instrText xml:space="preserve"> ADDIN ZOTERO_ITEM CSL_CITATION {"citationID":"l6GccdCT","properties":{"formattedCitation":"(European Commission/EACEA/Eurydice, 2020)","plainCitation":"(European Commission/EACEA/Eurydice, 2020)","noteIndex":0},"citationItems":[{"id":"1UWm9USB/MqcCNpO3","uris":["http://zotero.org/users/7276493/items/SYCBS86D"],"uri":["http://zotero.org/users/7276493/items/SYCBS86D"],"itemData":{"id":15,"type":"book","event-place":"Luxembourg","ISBN":"978-92-9484-361-6","language":"English","publisher":"Publications Office of the European Union","publisher-place":"Luxembourg","source":"Open WorldCat","title":"National Student Fee and Support Systems in European Higher Education – 2020/21","title-short":"National student fee and support systems in European higher education","URL":"https://eacea.ec.europa.eu/national-policies/eurydice/content/national-student-fee-and-support-systems-european-higher-education-202021_en","author":[{"literal":"European Commission/EACEA/Eurydice"}],"accessed":{"date-parts":[["2020",12,20]]},"issued":{"date-parts":[["2020"]]}}}],"schema":"https://github.com/citation-style-language/schema/raw/master/csl-citation.json"} </w:instrText>
      </w:r>
      <w:r w:rsidRPr="002A7D65">
        <w:fldChar w:fldCharType="separate"/>
      </w:r>
      <w:r w:rsidRPr="002A7D65">
        <w:t>(</w:t>
      </w:r>
      <w:r w:rsidR="00C16B07" w:rsidRPr="00C16B07">
        <w:rPr>
          <w:i/>
          <w:iCs/>
        </w:rPr>
        <w:t>Euro</w:t>
      </w:r>
      <w:r w:rsidRPr="002A7D65">
        <w:t>pean Commission/EACEA/Eurydice, 2020)</w:t>
      </w:r>
      <w:r w:rsidRPr="002A7D65">
        <w:fldChar w:fldCharType="end"/>
      </w:r>
      <w:r w:rsidRPr="002A7D65">
        <w:t>)</w:t>
      </w:r>
    </w:p>
    <w:p w14:paraId="4DE38D29" w14:textId="77C61268" w:rsidR="00E771A9" w:rsidRPr="002A7D65" w:rsidRDefault="00E771A9" w:rsidP="00E771A9">
      <w:pPr>
        <w:spacing w:after="160"/>
        <w:ind w:firstLine="0"/>
        <w:jc w:val="left"/>
      </w:pPr>
      <w:r w:rsidRPr="002A7D65">
        <w:t xml:space="preserve">Dānijā studējošajiem ir pieejami vairāki finansiālā atbalsta mehānismi. Pilna laika studējošajiem, kuri studē akreditētā studiju programmā un kuru ikmēneša ienākumi nepārsniedz valstī noteiktu summu (2020. gadā 1820 </w:t>
      </w:r>
      <w:r w:rsidR="001673CC">
        <w:rPr>
          <w:i/>
          <w:iCs/>
        </w:rPr>
        <w:t>euro</w:t>
      </w:r>
      <w:r w:rsidRPr="002A7D65">
        <w:t xml:space="preserve">), ir iespējams pieteikties valsts dotācijai sociālajam atbalstam. Savukārt studējošajiem, kuri dzīvo pie saviem vecākiem, dotācijas apmēru nosaka pēc vecāku ienākumu līmeņa. </w:t>
      </w:r>
    </w:p>
    <w:p w14:paraId="2DAB490B" w14:textId="4D9B1E56" w:rsidR="00E771A9" w:rsidRPr="002A7D65" w:rsidRDefault="00E771A9" w:rsidP="00E771A9">
      <w:pPr>
        <w:spacing w:after="160"/>
        <w:ind w:firstLine="0"/>
        <w:jc w:val="left"/>
      </w:pPr>
      <w:r w:rsidRPr="002A7D65">
        <w:t xml:space="preserve">Minimālais ikmēneša dotācijas apmērs, ko gada griezumā 12 reizes saņem pie vecākiem dzīvojošs studējošais, ir 130 </w:t>
      </w:r>
      <w:r w:rsidR="001673CC">
        <w:rPr>
          <w:i/>
          <w:iCs/>
        </w:rPr>
        <w:t>euro</w:t>
      </w:r>
      <w:r w:rsidRPr="002A7D65">
        <w:t xml:space="preserve">, bet maksimālais – 362 </w:t>
      </w:r>
      <w:r w:rsidR="001673CC">
        <w:rPr>
          <w:i/>
          <w:iCs/>
        </w:rPr>
        <w:t>euro</w:t>
      </w:r>
      <w:r w:rsidRPr="002A7D65">
        <w:t xml:space="preserve">. Turpretī patstāvīgi dzīvojoša studējošā ikmēneša dotācijas apmērs ir 839 </w:t>
      </w:r>
      <w:r w:rsidR="001673CC">
        <w:rPr>
          <w:i/>
          <w:iCs/>
        </w:rPr>
        <w:t>euro</w:t>
      </w:r>
      <w:r w:rsidRPr="002A7D65">
        <w:t xml:space="preserve">. Valsts dotācijai var pieteikties arī personas, kuras nav </w:t>
      </w:r>
      <w:r w:rsidRPr="002A7D65">
        <w:lastRenderedPageBreak/>
        <w:t>ES vai EEZ valstu pilsoņi, taču tām ir jāatbilst specifiskiem nosacījumiem. Kopumā 2019. gadā valsts dotāciju kā sociālā atbalsta mehānismu izmantoja 92% pamatstudiju un 77% augstākā studiju līmeņa studējošo.</w:t>
      </w:r>
    </w:p>
    <w:p w14:paraId="1F1DFB19" w14:textId="335058B5" w:rsidR="00E771A9" w:rsidRPr="002A7D65" w:rsidRDefault="00E771A9" w:rsidP="00E771A9">
      <w:pPr>
        <w:spacing w:after="160"/>
        <w:ind w:firstLine="0"/>
        <w:jc w:val="left"/>
      </w:pPr>
      <w:r w:rsidRPr="002A7D65">
        <w:t xml:space="preserve">Papildu valsts dotāciju var saņemt studējošie, kuri studiju laikā kļūst par vecākiem. Ja šis studējošais dzīvo ar personu, kura izmanto kādu izglītībai paredzētu finansiālo atbalsta mehānismu, tad ikmēneša dotācijas apmērs 2020. gadā sasniedz 335 </w:t>
      </w:r>
      <w:r w:rsidR="001673CC">
        <w:rPr>
          <w:i/>
          <w:iCs/>
        </w:rPr>
        <w:t>euro</w:t>
      </w:r>
      <w:r w:rsidRPr="002A7D65">
        <w:t xml:space="preserve">, bet vientuļajiem vecākiem – 839 </w:t>
      </w:r>
      <w:r w:rsidR="001673CC">
        <w:rPr>
          <w:i/>
          <w:iCs/>
        </w:rPr>
        <w:t>euro</w:t>
      </w:r>
      <w:r w:rsidRPr="002A7D65">
        <w:t xml:space="preserve">. Bez tam papildu dotācijas ir pieejamas studējošajiem ar invaliditāti, kuriem paralēli studijām nav iespējams strādāt. Šiem studējošajiem ikmēneša atbalsts ir 748 </w:t>
      </w:r>
      <w:r w:rsidR="001673CC" w:rsidRPr="001673CC">
        <w:rPr>
          <w:i/>
          <w:iCs/>
        </w:rPr>
        <w:t xml:space="preserve">euro </w:t>
      </w:r>
      <w:r w:rsidRPr="002A7D65">
        <w:t xml:space="preserve">un 1183 </w:t>
      </w:r>
      <w:r w:rsidR="001673CC" w:rsidRPr="001673CC">
        <w:rPr>
          <w:i/>
          <w:iCs/>
        </w:rPr>
        <w:t xml:space="preserve">euro </w:t>
      </w:r>
      <w:r w:rsidRPr="002A7D65">
        <w:t>robežās. Savukārt nodokļu atvieglojumus studējošo vecākiem vai dotācijas ģimenēm Dānijas atbalsta mehānismi neparedz.</w:t>
      </w:r>
    </w:p>
    <w:p w14:paraId="5C36A83A" w14:textId="31B28B5F" w:rsidR="00E771A9" w:rsidRPr="002A7D65" w:rsidRDefault="00E771A9" w:rsidP="00E771A9">
      <w:pPr>
        <w:spacing w:after="160"/>
        <w:ind w:firstLine="0"/>
        <w:jc w:val="left"/>
      </w:pPr>
      <w:r w:rsidRPr="002A7D65">
        <w:t xml:space="preserve">Valsts dotāciju apmēru pārskata katru gadu, un izmaksātos līdzekļus var aplikt ar nodokļiem. Vienlaikus, nosakot izmaksājamās summas apmēru, atbildīgās institūcijas individuāli vērtē katru gadījumu. Saistībā ar Covid-19 infekcijas slimības izplatību vienreizējs atbalsts 134 </w:t>
      </w:r>
      <w:r w:rsidR="001673CC" w:rsidRPr="001673CC">
        <w:rPr>
          <w:i/>
          <w:iCs/>
        </w:rPr>
        <w:t xml:space="preserve">euro </w:t>
      </w:r>
      <w:r w:rsidRPr="002A7D65">
        <w:t>apmērā 2020. gada oktobrī tika izmaksāts visiem studējošajiem, kuri 2020. gada aprīlī izmantoja valsts finansiālos atbalsta mehānismus.</w:t>
      </w:r>
    </w:p>
    <w:p w14:paraId="37E0911D" w14:textId="29955270" w:rsidR="00E771A9" w:rsidRPr="002A7D65" w:rsidRDefault="00E771A9" w:rsidP="00E771A9">
      <w:pPr>
        <w:spacing w:after="160"/>
        <w:ind w:firstLine="0"/>
        <w:jc w:val="left"/>
      </w:pPr>
      <w:r w:rsidRPr="002A7D65">
        <w:t xml:space="preserve">Bez valsts dotācijām sociālajam atbalstam Dānijā studējošie var pieteikties arī valsts aizdevumam – šo iespēju 2019. gadā izmantoja 19% pamatstudijās un 25% augstākā līmeņa studijās studējošie. Aizdevums, kura apmērs mēnesī sasniedz 429 </w:t>
      </w:r>
      <w:r w:rsidR="001673CC">
        <w:rPr>
          <w:i/>
          <w:iCs/>
        </w:rPr>
        <w:t>euro</w:t>
      </w:r>
      <w:r w:rsidRPr="002A7D65">
        <w:t xml:space="preserve">, ir pieejams visiem pilna laika studējošajiem, kuriem ir tiesības pretendēt uz valsts dotāciju. Papildu valsts aizdevumu 215 </w:t>
      </w:r>
      <w:r w:rsidR="001673CC" w:rsidRPr="001673CC">
        <w:rPr>
          <w:i/>
          <w:iCs/>
        </w:rPr>
        <w:t xml:space="preserve">euro </w:t>
      </w:r>
      <w:r w:rsidRPr="002A7D65">
        <w:t>mēnesī var saņemt studējošie-vecāki, bet noslēguma aizdevumu (</w:t>
      </w:r>
      <w:proofErr w:type="spellStart"/>
      <w:r w:rsidRPr="002A7D65">
        <w:rPr>
          <w:i/>
          <w:iCs/>
        </w:rPr>
        <w:t>end-loan</w:t>
      </w:r>
      <w:proofErr w:type="spellEnd"/>
      <w:r w:rsidRPr="002A7D65">
        <w:t xml:space="preserve">) 1107 </w:t>
      </w:r>
      <w:proofErr w:type="spellStart"/>
      <w:r w:rsidR="001673CC" w:rsidRPr="001673CC">
        <w:rPr>
          <w:i/>
          <w:iCs/>
        </w:rPr>
        <w:t>euro</w:t>
      </w:r>
      <w:proofErr w:type="spellEnd"/>
      <w:r w:rsidR="001673CC" w:rsidRPr="001673CC">
        <w:rPr>
          <w:i/>
          <w:iCs/>
        </w:rPr>
        <w:t xml:space="preserve"> </w:t>
      </w:r>
      <w:r w:rsidRPr="002A7D65">
        <w:t xml:space="preserve">mēnesī var saņemt studējošie, kuri ir izmantojuši visas piešķirtās valsts dotācijas un kuri savu studiju programmu beigs 12 vai 24 mēnešu laikā. </w:t>
      </w:r>
    </w:p>
    <w:p w14:paraId="3D2BC96C" w14:textId="77777777" w:rsidR="00E771A9" w:rsidRPr="002A7D65" w:rsidRDefault="00E771A9" w:rsidP="00E771A9">
      <w:pPr>
        <w:spacing w:after="160"/>
        <w:ind w:firstLine="0"/>
        <w:jc w:val="left"/>
      </w:pPr>
      <w:r w:rsidRPr="002A7D65">
        <w:t xml:space="preserve">Studējošajiem aizdevums ir jāsāk apmaksāt ne vēlāk kā gadu pēc absolvēšanas, bet apmaksas ilgums nedrīkst pārsniegt 15 gadus. </w:t>
      </w:r>
    </w:p>
    <w:p w14:paraId="53DAFD70" w14:textId="77777777" w:rsidR="00E771A9" w:rsidRPr="002A7D65" w:rsidRDefault="00E771A9" w:rsidP="00E771A9">
      <w:pPr>
        <w:spacing w:after="160"/>
        <w:ind w:firstLine="0"/>
        <w:jc w:val="left"/>
      </w:pPr>
      <w:r w:rsidRPr="002A7D65">
        <w:t xml:space="preserve">Dānijas augstākās izglītības sistēma tiek finansēta no valsts un pašvaldību līdzekļiem. Vislielākā summa nāk no valsts līdzekļiem. Dānijas augstākās izglītības finansēšana no valsts puses notiek, balstoties uz studējošo skaitu, kuri nokārto sesiju katrā akadēmiskajā gadā. Par katru studējošo, kurš nokārto sesiju, Dānijas valdība aprēķina tā izmaksas, ņemot vērā tematisko jomu un vai tā ir doktorantūras programma vai nē. Saņemtās summas tiek pārskaitītas iestādei kā kopēja summa, ar kuru iestāde var brīvi operēt </w:t>
      </w:r>
      <w:r w:rsidRPr="002A7D65">
        <w:fldChar w:fldCharType="begin"/>
      </w:r>
      <w:r w:rsidRPr="002A7D65">
        <w:instrText xml:space="preserve"> ADDIN ZOTERO_ITEM CSL_CITATION {"citationID":"LuG8sgT2","properties":{"formattedCitation":"(Canton et al., 2001)","plainCitation":"(Canton et al., 2001)","noteIndex":0},"citationItems":[{"id":872,"uris":["http://zotero.org/users/3405954/items/J68IA8G8"],"uri":["http://zotero.org/users/3405954/items/J68IA8G8"],"itemData":{"id":872,"type":"chapter","container-title":"Higher education reform: getting the incentives right","event-place":"Netherlands","ISBN":"90 120 9268 x","language":"English","page":"85–99","publisher":"SDU","publisher-place":"Netherlands","title":"Public funding of higher education: the Danish taximeter-model","author":[{"family":"Canton","given":"Erik"},{"family":"Meer","given":"Peter","non-dropping-particle":"van der"},{"family":"Meer","given":"Peter","non-dropping-particle":"van der"}],"editor":[{"family":"Canton","given":"E."},{"family":"Venniker","given":"R."},{"family":"Jongbloed","given":"B. W. A."},{"family":"Koelman","given":"J. B. J."},{"family":"Meer","given":"P. H."},{"family":"Vossensteyn","given":"J. J."}],"issued":{"date-parts":[["2001"]]}}}],"schema":"https://github.com/citation-style-language/schema/raw/master/csl-citation.json"} </w:instrText>
      </w:r>
      <w:r w:rsidRPr="002A7D65">
        <w:fldChar w:fldCharType="separate"/>
      </w:r>
      <w:r w:rsidRPr="002A7D65">
        <w:t>(Canton et al., 2001)</w:t>
      </w:r>
      <w:r w:rsidRPr="002A7D65">
        <w:fldChar w:fldCharType="end"/>
      </w:r>
      <w:r w:rsidRPr="002A7D65">
        <w:t xml:space="preserve">. Tāpat arī Dānijas valdībai ir tiesības, ja tas ir nepieciešams, ierobežot uzņemto studējošo skaitu dažādās jomās </w:t>
      </w:r>
      <w:r w:rsidRPr="002A7D65">
        <w:fldChar w:fldCharType="begin"/>
      </w:r>
      <w:r w:rsidRPr="002A7D65">
        <w:instrText xml:space="preserve"> ADDIN ZOTERO_ITEM CSL_CITATION {"citationID":"fp1qx1QT","properties":{"formattedCitation":"(Elken et al., 2015)","plainCitation":"(Elken et al., 2015)","noteIndex":0},"citationItems":[{"id":877,"uris":["http://zotero.org/users/3405954/items/ZHLIEVA6"],"uri":["http://zotero.org/users/3405954/items/ZHLIEVA6"],"itemData":{"id":877,"type":"article","language":"English","note":"ISBN: 9789289340526 9789289340533\nOCLC: 1220919671","source":"Open WorldCat","title":"Higher Education in the Nordic Countries: Evaluation of the Nordic agreement on admission to higher education","title-short":"Higher Education in the Nordic Countries","author":[{"family":"Elken","given":"Mari"},{"family":"Hovdhaugen","given":"Elisabeth"},{"family":"Wiers-Jenssen","given":"Jannecke"}],"issued":{"date-parts":[["2015"]]}}}],"schema":"https://github.com/citation-style-language/schema/raw/master/csl-citation.json"} </w:instrText>
      </w:r>
      <w:r w:rsidRPr="002A7D65">
        <w:fldChar w:fldCharType="separate"/>
      </w:r>
      <w:r w:rsidRPr="002A7D65">
        <w:t>(Elken et al., 2015)</w:t>
      </w:r>
      <w:r w:rsidRPr="002A7D65">
        <w:fldChar w:fldCharType="end"/>
      </w:r>
      <w:r w:rsidRPr="002A7D65">
        <w:t>.</w:t>
      </w:r>
    </w:p>
    <w:p w14:paraId="13399D4A" w14:textId="77777777" w:rsidR="00E771A9" w:rsidRPr="002A7D65" w:rsidRDefault="00E771A9" w:rsidP="00491B9A">
      <w:pPr>
        <w:pStyle w:val="Heading4"/>
      </w:pPr>
      <w:r w:rsidRPr="002A7D65">
        <w:t>Nīderlande</w:t>
      </w:r>
    </w:p>
    <w:p w14:paraId="2453CD11" w14:textId="77777777" w:rsidR="00E771A9" w:rsidRPr="002A7D65" w:rsidRDefault="00E771A9" w:rsidP="00E771A9">
      <w:r w:rsidRPr="002A7D65">
        <w:t>Nīderlandes augstākās izglītības sistēma, līdzīgi kā Somijas, arī sastāv no divu iestāžu tipiem – universitātēm un augstākās profesionālās izglītības iestādēm. Augstākās izglītības iestādes saņem valsts finansējumu vairākos veidos:</w:t>
      </w:r>
    </w:p>
    <w:p w14:paraId="3DEECCF5" w14:textId="77777777" w:rsidR="00E771A9" w:rsidRPr="002A7D65" w:rsidRDefault="00E771A9" w:rsidP="00E771A9">
      <w:pPr>
        <w:pStyle w:val="ListParagraph"/>
        <w:numPr>
          <w:ilvl w:val="0"/>
          <w:numId w:val="5"/>
        </w:numPr>
        <w:rPr>
          <w:rFonts w:asciiTheme="minorHAnsi" w:hAnsiTheme="minorHAnsi" w:cstheme="minorBidi"/>
          <w:sz w:val="24"/>
        </w:rPr>
      </w:pPr>
      <w:r w:rsidRPr="002A7D65">
        <w:rPr>
          <w:rFonts w:asciiTheme="minorHAnsi" w:hAnsiTheme="minorHAnsi" w:cstheme="minorBidi"/>
          <w:sz w:val="24"/>
        </w:rPr>
        <w:t>kā bloka dotāciju;</w:t>
      </w:r>
    </w:p>
    <w:p w14:paraId="0D39AD4C" w14:textId="77777777" w:rsidR="00E771A9" w:rsidRPr="002A7D65" w:rsidRDefault="00E771A9" w:rsidP="00E771A9">
      <w:pPr>
        <w:pStyle w:val="ListParagraph"/>
        <w:numPr>
          <w:ilvl w:val="0"/>
          <w:numId w:val="5"/>
        </w:numPr>
        <w:rPr>
          <w:rFonts w:asciiTheme="minorHAnsi" w:hAnsiTheme="minorHAnsi" w:cstheme="minorBidi"/>
          <w:sz w:val="24"/>
        </w:rPr>
      </w:pPr>
      <w:r w:rsidRPr="002A7D65">
        <w:rPr>
          <w:rFonts w:asciiTheme="minorHAnsi" w:hAnsiTheme="minorHAnsi" w:cstheme="minorBidi"/>
          <w:sz w:val="24"/>
        </w:rPr>
        <w:lastRenderedPageBreak/>
        <w:t>balstoties uz to sniegumu;</w:t>
      </w:r>
    </w:p>
    <w:p w14:paraId="78B9EB5D" w14:textId="77777777" w:rsidR="00E771A9" w:rsidRPr="002A7D65" w:rsidRDefault="00E771A9" w:rsidP="00E771A9">
      <w:pPr>
        <w:pStyle w:val="ListParagraph"/>
        <w:numPr>
          <w:ilvl w:val="0"/>
          <w:numId w:val="5"/>
        </w:numPr>
        <w:rPr>
          <w:rFonts w:asciiTheme="minorHAnsi" w:hAnsiTheme="minorHAnsi" w:cstheme="minorBidi"/>
          <w:sz w:val="24"/>
        </w:rPr>
      </w:pPr>
      <w:r w:rsidRPr="002A7D65">
        <w:rPr>
          <w:rFonts w:asciiTheme="minorHAnsi" w:hAnsiTheme="minorHAnsi" w:cstheme="minorBidi"/>
          <w:sz w:val="24"/>
        </w:rPr>
        <w:t>caur snieguma līgumiem</w:t>
      </w:r>
      <w:r w:rsidRPr="002A7D65">
        <w:rPr>
          <w:rStyle w:val="FootnoteReference"/>
          <w:rFonts w:asciiTheme="minorHAnsi" w:hAnsiTheme="minorHAnsi" w:cstheme="minorBidi"/>
        </w:rPr>
        <w:footnoteReference w:id="52"/>
      </w:r>
      <w:r w:rsidRPr="002A7D65">
        <w:rPr>
          <w:rFonts w:asciiTheme="minorHAnsi" w:hAnsiTheme="minorHAnsi" w:cstheme="minorBidi"/>
          <w:sz w:val="24"/>
        </w:rPr>
        <w:t>.</w:t>
      </w:r>
    </w:p>
    <w:p w14:paraId="0F8735D1" w14:textId="77777777" w:rsidR="00E771A9" w:rsidRPr="002A7D65" w:rsidRDefault="00E771A9" w:rsidP="00E771A9">
      <w:r w:rsidRPr="002A7D65">
        <w:t xml:space="preserve">Visas iestādes saņem pamata finansējumu, kas ir diferencēts atbilstoši iestādes tipam. Zinātnes universitātes saņem finansējumu, lai nodrošinātu universitātes līmeņa studiju procesa, pētniecību, kā arī sadarbību ar klīniskām universitātes slimnīcām. Augstākās profesionālās izglītības iestādes saņem finansējumu, lai nodrošinātu profesionālā līmeņa studiju procesu, kā arī dizainu un izstrādi. </w:t>
      </w:r>
    </w:p>
    <w:p w14:paraId="51283D1C" w14:textId="77777777" w:rsidR="00E771A9" w:rsidRPr="002A7D65" w:rsidRDefault="00E771A9" w:rsidP="00E771A9">
      <w:r w:rsidRPr="002A7D65">
        <w:t xml:space="preserve">Paralēli valsts atbalstam studējošie arī maksā studiju maksu augstākās izglītības iestādēs. Valsts nosaka studiju maksas apmēru studējošajiem, kas ir no Eiropas Ekonomiskās zonas un kas studē bakalaura programmā un nav iepriekš ieguvuši bakalaura grādu vai maģistra programmā un nav iepriekš ieguvuši maģistra grādu, vai arī studē valsts finansētā programmā. Tāpat arī studiju maksas tiek centralizēti noteiktas studējošajiem, kas iegūst otro izglītību veselības aprūpē vai izglītībā. </w:t>
      </w:r>
    </w:p>
    <w:p w14:paraId="0FBD3F21" w14:textId="4C3921EB" w:rsidR="00E771A9" w:rsidRPr="002A7D65" w:rsidRDefault="00E771A9" w:rsidP="00E771A9">
      <w:r w:rsidRPr="002A7D65">
        <w:t xml:space="preserve">Centralizēti noteiktais studiju maksas apmērs 2020./2021. studiju gadā bija 2143 </w:t>
      </w:r>
      <w:r w:rsidR="001673CC" w:rsidRPr="001673CC">
        <w:rPr>
          <w:i/>
          <w:iCs/>
        </w:rPr>
        <w:t xml:space="preserve">euro </w:t>
      </w:r>
      <w:r w:rsidRPr="002A7D65">
        <w:t xml:space="preserve">gadā no studenta. Lai veicinātu studiju pieejamību, studiju maksa pirmajā studiju gadā ir puse no šīs summas – 1071 </w:t>
      </w:r>
      <w:r w:rsidR="001673CC">
        <w:rPr>
          <w:i/>
          <w:iCs/>
        </w:rPr>
        <w:t>euro</w:t>
      </w:r>
      <w:r w:rsidRPr="002A7D65">
        <w:t xml:space="preserve">. Savukārt gadījumos, kad centralizēti noteikta studiju maksa neattiecās uz studējošajiem, universitātes vidēji nosaka studiju maksu 8000 </w:t>
      </w:r>
      <w:r w:rsidR="001673CC" w:rsidRPr="001673CC">
        <w:rPr>
          <w:i/>
          <w:iCs/>
        </w:rPr>
        <w:t xml:space="preserve">euro </w:t>
      </w:r>
      <w:r w:rsidRPr="002A7D65">
        <w:t xml:space="preserve">apmērā gadā bakalaura līmenī, bet augstākās profesionālās izglītības iestādes starp 6500 un 7000 </w:t>
      </w:r>
      <w:r w:rsidR="001673CC">
        <w:rPr>
          <w:i/>
          <w:iCs/>
        </w:rPr>
        <w:t>euro</w:t>
      </w:r>
      <w:r w:rsidRPr="002A7D65">
        <w:t xml:space="preserve">. Visaugstākā studiju maksa ir medicīnai, kas var maksāt līdz pat 32000 </w:t>
      </w:r>
      <w:r w:rsidR="001673CC">
        <w:rPr>
          <w:i/>
          <w:iCs/>
        </w:rPr>
        <w:t>euro</w:t>
      </w:r>
      <w:r w:rsidRPr="002A7D65">
        <w:t xml:space="preserve">. Maģistra līmenī universitātēs studiju maksa ir vidēji 12000 </w:t>
      </w:r>
      <w:r w:rsidR="001673CC" w:rsidRPr="001673CC">
        <w:rPr>
          <w:i/>
          <w:iCs/>
        </w:rPr>
        <w:t xml:space="preserve">euro </w:t>
      </w:r>
      <w:r w:rsidRPr="002A7D65">
        <w:t xml:space="preserve">gadā, bet dažām programmām sasniedz pat 32000 </w:t>
      </w:r>
      <w:r w:rsidR="001673CC">
        <w:rPr>
          <w:i/>
          <w:iCs/>
        </w:rPr>
        <w:t>euro</w:t>
      </w:r>
      <w:r w:rsidR="001673CC" w:rsidRPr="002A7D65">
        <w:rPr>
          <w:rStyle w:val="FootnoteReference"/>
        </w:rPr>
        <w:t xml:space="preserve"> </w:t>
      </w:r>
      <w:r w:rsidRPr="002A7D65">
        <w:rPr>
          <w:rStyle w:val="FootnoteReference"/>
        </w:rPr>
        <w:footnoteReference w:id="53"/>
      </w:r>
      <w:r w:rsidRPr="002A7D65">
        <w:t xml:space="preserve">. </w:t>
      </w:r>
    </w:p>
    <w:p w14:paraId="6A2B944D" w14:textId="6F7318FF" w:rsidR="00E771A9" w:rsidRPr="002A7D65" w:rsidRDefault="00E771A9" w:rsidP="00E771A9">
      <w:r w:rsidRPr="002A7D65">
        <w:t xml:space="preserve">Kopējie izdevumi uz vienu studējošo Nīderlandes universitātēs ir vidēji 32400 </w:t>
      </w:r>
      <w:r w:rsidR="001673CC">
        <w:rPr>
          <w:i/>
          <w:iCs/>
        </w:rPr>
        <w:t>euro</w:t>
      </w:r>
      <w:r w:rsidR="001673CC" w:rsidRPr="002A7D65">
        <w:rPr>
          <w:rStyle w:val="FootnoteReference"/>
          <w:b/>
        </w:rPr>
        <w:t xml:space="preserve"> </w:t>
      </w:r>
      <w:r w:rsidRPr="002A7D65">
        <w:rPr>
          <w:rStyle w:val="FootnoteReference"/>
          <w:b/>
        </w:rPr>
        <w:footnoteReference w:id="54"/>
      </w:r>
      <w:r w:rsidRPr="002A7D65">
        <w:t xml:space="preserve">. Attiecīgi, vidējais studējošo līdzmaksājuma apmērs ir nedaudz virs 6% studējošajiem, uz kuriem attiecās valsts noteiktā studiju maksa, vai 25% apmērā studējošajiem, uz kuriem neattiecās.  </w:t>
      </w:r>
    </w:p>
    <w:p w14:paraId="24E53A79" w14:textId="77777777" w:rsidR="00E771A9" w:rsidRPr="002A7D65" w:rsidRDefault="00E771A9" w:rsidP="00E771A9">
      <w:r w:rsidRPr="002A7D65">
        <w:t>Papildus tam, valsts finansējums tiek daļēji piešķirts balstoties uz iestādes sniegumu. Vidēji ceturtā daļa no universitāšu finansējuma tiek piešķirta balstoties uz snieguma komponentēm, kas ņem vērā iestādes absolventu skaitu un to, cik daudzi studējošie progresē savās studijās (neņem akadēmiskus atvaļinājumus un nepaliek uz vēl vienu gadu). Savukārt augstākās profesionālās izglītības iestādēm ir tādi paši kritēriji, bet snieguma daļa sastāda trešdaļu</w:t>
      </w:r>
      <w:r w:rsidRPr="002A7D65">
        <w:rPr>
          <w:rStyle w:val="FootnoteReference"/>
        </w:rPr>
        <w:footnoteReference w:id="55"/>
      </w:r>
      <w:r w:rsidRPr="002A7D65">
        <w:t xml:space="preserve">. </w:t>
      </w:r>
    </w:p>
    <w:p w14:paraId="0900E809" w14:textId="77777777" w:rsidR="00E771A9" w:rsidRPr="002A7D65" w:rsidRDefault="00E771A9" w:rsidP="00E771A9">
      <w:r w:rsidRPr="002A7D65">
        <w:lastRenderedPageBreak/>
        <w:t>Tāpat arī laika periodā no 2013.-2016. gadam 7% no valsts finansējuma iestādei tiek piešķirts caur snieguma līgumu</w:t>
      </w:r>
      <w:r w:rsidRPr="002A7D65">
        <w:rPr>
          <w:rStyle w:val="FootnoteReference"/>
        </w:rPr>
        <w:footnoteReference w:id="56"/>
      </w:r>
      <w:r w:rsidRPr="002A7D65">
        <w:t>. Snieguma līgumu kritēriji tika veidoti pārrunu ceļā starp iestādi un ministriju, un tie ietvēra gan kvalitatīvos, gan arī kvantitatīvos kritērijus. Ministrija arī noteica septiņus pamata indikatorus, kuru sasniedzamās vērtības un datu avotus noteica pārrunu ceļā ar katru iestādi</w:t>
      </w:r>
      <w:r w:rsidRPr="002A7D65">
        <w:rPr>
          <w:rStyle w:val="FootnoteReference"/>
        </w:rPr>
        <w:footnoteReference w:id="57"/>
      </w:r>
      <w:r w:rsidRPr="002A7D65">
        <w:t xml:space="preserve">. Šo snieguma līgumu mērķis bija veicināt izglītības kvalitāti, mudināt iestāžu specializāciju un profilu atšķirību, kā arī zinātnes komercializācijas veicināšana. </w:t>
      </w:r>
    </w:p>
    <w:p w14:paraId="02D25DF7" w14:textId="77777777" w:rsidR="00E771A9" w:rsidRPr="002A7D65" w:rsidRDefault="00E771A9" w:rsidP="00E771A9">
      <w:r w:rsidRPr="002A7D65">
        <w:t>Tomēr snieguma līgumu eksperiments Nīderlandē neattaisnojās, kā rezultātā 2018. gadā tika izveidota jauna sniegumu līgumu sistēma, kuras mērķis bija primāri balstīties iestāžu kvalitatīvajos rezultātos, jo snieguma kritēriju kvantitatīvais aspekts tika uzskatīts par pārāk šauru. Attiecīgi jaunajā snieguma līgumu sistēmā iestāžu sniegums tiek izvērtēts balstoties uz kvalitatīvajiem kritērijiem</w:t>
      </w:r>
      <w:r w:rsidRPr="002A7D65">
        <w:rPr>
          <w:rStyle w:val="FootnoteReference"/>
        </w:rPr>
        <w:footnoteReference w:id="58"/>
      </w:r>
      <w:r w:rsidRPr="002A7D65">
        <w:t>.</w:t>
      </w:r>
    </w:p>
    <w:p w14:paraId="5B6B8526" w14:textId="77777777" w:rsidR="00E771A9" w:rsidRPr="002A7D65" w:rsidRDefault="00E771A9" w:rsidP="00E771A9">
      <w:pPr>
        <w:rPr>
          <w:rFonts w:cstheme="minorHAnsi"/>
        </w:rPr>
      </w:pPr>
      <w:r w:rsidRPr="002A7D65">
        <w:rPr>
          <w:rFonts w:cstheme="minorHAnsi"/>
        </w:rPr>
        <w:t>2018. gada snieguma līgumu sistēmas ietvaros iestādes pieteicās ar saviem plāniem, kā attīstīt  studiju kvalitāti. Tika identificēti seši tematiskie bloki, uz kuriem iestāžu attīstības plāniem būtu jāliek uzsvars:</w:t>
      </w:r>
    </w:p>
    <w:p w14:paraId="46DFFA64" w14:textId="77777777" w:rsidR="00E771A9" w:rsidRPr="002A7D65" w:rsidRDefault="00E771A9" w:rsidP="00E771A9">
      <w:pPr>
        <w:pStyle w:val="ListParagraph"/>
        <w:numPr>
          <w:ilvl w:val="0"/>
          <w:numId w:val="15"/>
        </w:numPr>
        <w:rPr>
          <w:rFonts w:asciiTheme="minorHAnsi" w:hAnsiTheme="minorHAnsi" w:cstheme="minorHAnsi"/>
          <w:sz w:val="24"/>
        </w:rPr>
      </w:pPr>
      <w:r w:rsidRPr="002A7D65">
        <w:rPr>
          <w:rFonts w:asciiTheme="minorHAnsi" w:hAnsiTheme="minorHAnsi" w:cstheme="minorHAnsi"/>
          <w:sz w:val="24"/>
        </w:rPr>
        <w:t>Intensīvāka un mazāka izmēra izglītība</w:t>
      </w:r>
    </w:p>
    <w:p w14:paraId="1995BB47" w14:textId="77777777" w:rsidR="00E771A9" w:rsidRPr="002A7D65" w:rsidRDefault="00E771A9" w:rsidP="00E771A9">
      <w:pPr>
        <w:pStyle w:val="ListParagraph"/>
        <w:numPr>
          <w:ilvl w:val="0"/>
          <w:numId w:val="15"/>
        </w:numPr>
        <w:rPr>
          <w:rFonts w:asciiTheme="minorHAnsi" w:hAnsiTheme="minorHAnsi" w:cstheme="minorHAnsi"/>
          <w:sz w:val="24"/>
        </w:rPr>
      </w:pPr>
      <w:r w:rsidRPr="002A7D65">
        <w:rPr>
          <w:rFonts w:asciiTheme="minorHAnsi" w:hAnsiTheme="minorHAnsi" w:cstheme="minorHAnsi"/>
          <w:sz w:val="24"/>
        </w:rPr>
        <w:t>Izglītības diferenciācija, ieskaitot talantu attīstību studiju un ārpus studiju procesa</w:t>
      </w:r>
    </w:p>
    <w:p w14:paraId="203E4A51" w14:textId="77777777" w:rsidR="00E771A9" w:rsidRPr="002A7D65" w:rsidRDefault="00E771A9" w:rsidP="00E771A9">
      <w:pPr>
        <w:pStyle w:val="ListParagraph"/>
        <w:numPr>
          <w:ilvl w:val="0"/>
          <w:numId w:val="15"/>
        </w:numPr>
        <w:rPr>
          <w:rFonts w:asciiTheme="minorHAnsi" w:hAnsiTheme="minorHAnsi" w:cstheme="minorHAnsi"/>
          <w:sz w:val="24"/>
        </w:rPr>
      </w:pPr>
      <w:r w:rsidRPr="002A7D65">
        <w:rPr>
          <w:rFonts w:asciiTheme="minorHAnsi" w:hAnsiTheme="minorHAnsi" w:cstheme="minorHAnsi"/>
          <w:sz w:val="24"/>
        </w:rPr>
        <w:t>Turpmāka pasniedzēju profesionalizācija</w:t>
      </w:r>
    </w:p>
    <w:p w14:paraId="10B5CFC2" w14:textId="77777777" w:rsidR="00E771A9" w:rsidRPr="002A7D65" w:rsidRDefault="00E771A9" w:rsidP="00E771A9">
      <w:pPr>
        <w:pStyle w:val="ListParagraph"/>
        <w:numPr>
          <w:ilvl w:val="0"/>
          <w:numId w:val="15"/>
        </w:numPr>
        <w:rPr>
          <w:rFonts w:asciiTheme="minorHAnsi" w:hAnsiTheme="minorHAnsi" w:cstheme="minorHAnsi"/>
          <w:sz w:val="24"/>
        </w:rPr>
      </w:pPr>
      <w:r w:rsidRPr="002A7D65">
        <w:rPr>
          <w:rFonts w:asciiTheme="minorHAnsi" w:hAnsiTheme="minorHAnsi" w:cstheme="minorHAnsi"/>
          <w:sz w:val="24"/>
        </w:rPr>
        <w:t>Studiju bāzes pilnveide</w:t>
      </w:r>
    </w:p>
    <w:p w14:paraId="29F00026" w14:textId="77777777" w:rsidR="00E771A9" w:rsidRPr="002A7D65" w:rsidRDefault="00E771A9" w:rsidP="00E771A9">
      <w:pPr>
        <w:pStyle w:val="ListParagraph"/>
        <w:numPr>
          <w:ilvl w:val="0"/>
          <w:numId w:val="15"/>
        </w:numPr>
        <w:rPr>
          <w:rFonts w:asciiTheme="minorHAnsi" w:hAnsiTheme="minorHAnsi" w:cstheme="minorHAnsi"/>
          <w:sz w:val="24"/>
        </w:rPr>
      </w:pPr>
      <w:r w:rsidRPr="002A7D65">
        <w:rPr>
          <w:rFonts w:asciiTheme="minorHAnsi" w:hAnsiTheme="minorHAnsi" w:cstheme="minorHAnsi"/>
          <w:sz w:val="24"/>
        </w:rPr>
        <w:t>Labāks studējošo atbalsts</w:t>
      </w:r>
    </w:p>
    <w:p w14:paraId="77426DE5" w14:textId="77777777" w:rsidR="00E771A9" w:rsidRPr="002A7D65" w:rsidRDefault="00E771A9" w:rsidP="00E771A9">
      <w:pPr>
        <w:pStyle w:val="ListParagraph"/>
        <w:numPr>
          <w:ilvl w:val="0"/>
          <w:numId w:val="15"/>
        </w:numPr>
        <w:rPr>
          <w:rFonts w:asciiTheme="minorHAnsi" w:hAnsiTheme="minorHAnsi" w:cstheme="minorHAnsi"/>
          <w:sz w:val="24"/>
        </w:rPr>
      </w:pPr>
      <w:r w:rsidRPr="002A7D65">
        <w:rPr>
          <w:rFonts w:asciiTheme="minorHAnsi" w:hAnsiTheme="minorHAnsi" w:cstheme="minorHAnsi"/>
          <w:sz w:val="24"/>
        </w:rPr>
        <w:t>Studējošo panākumi, tostarp atbirums, pieejamība, un vienlīdzības iespējas</w:t>
      </w:r>
    </w:p>
    <w:p w14:paraId="4A7EDDF5" w14:textId="77777777" w:rsidR="00E771A9" w:rsidRPr="002A7D65" w:rsidRDefault="00E771A9" w:rsidP="00E771A9">
      <w:pPr>
        <w:rPr>
          <w:rFonts w:cstheme="minorHAnsi"/>
        </w:rPr>
      </w:pPr>
      <w:r w:rsidRPr="002A7D65">
        <w:rPr>
          <w:rFonts w:cstheme="minorHAnsi"/>
        </w:rPr>
        <w:t>Pirms līgumu parakstīšanas to kvalitāti izvērtē Nīderlandes akreditācijas aģentūra un sniedz rekomendāciju izglītības ministram. Šie līgumi tiek izvērtēti balstoties uz sekojošiem kritērijiem:</w:t>
      </w:r>
    </w:p>
    <w:p w14:paraId="0015CBE9" w14:textId="77777777" w:rsidR="00E771A9" w:rsidRPr="002A7D65" w:rsidRDefault="00E771A9" w:rsidP="00E771A9">
      <w:pPr>
        <w:pStyle w:val="ListParagraph"/>
        <w:numPr>
          <w:ilvl w:val="0"/>
          <w:numId w:val="16"/>
        </w:numPr>
        <w:rPr>
          <w:rFonts w:asciiTheme="minorHAnsi" w:hAnsiTheme="minorHAnsi" w:cstheme="minorHAnsi"/>
          <w:sz w:val="24"/>
        </w:rPr>
      </w:pPr>
      <w:r w:rsidRPr="002A7D65">
        <w:rPr>
          <w:rFonts w:asciiTheme="minorHAnsi" w:hAnsiTheme="minorHAnsi" w:cstheme="minorHAnsi"/>
          <w:sz w:val="24"/>
        </w:rPr>
        <w:t>Iestādes plāns sniegs pamatotu uzlabojumu izglītības kvalitātei</w:t>
      </w:r>
    </w:p>
    <w:p w14:paraId="5F3C5D32" w14:textId="77777777" w:rsidR="00E771A9" w:rsidRPr="002A7D65" w:rsidRDefault="00E771A9" w:rsidP="00E771A9">
      <w:pPr>
        <w:pStyle w:val="ListParagraph"/>
        <w:numPr>
          <w:ilvl w:val="0"/>
          <w:numId w:val="16"/>
        </w:numPr>
        <w:rPr>
          <w:rFonts w:asciiTheme="minorHAnsi" w:hAnsiTheme="minorHAnsi" w:cstheme="minorHAnsi"/>
          <w:sz w:val="24"/>
        </w:rPr>
      </w:pPr>
      <w:r w:rsidRPr="002A7D65">
        <w:rPr>
          <w:rFonts w:asciiTheme="minorHAnsi" w:hAnsiTheme="minorHAnsi" w:cstheme="minorHAnsi"/>
          <w:sz w:val="24"/>
        </w:rPr>
        <w:t>Plāna izstrādē iekšējās iesaistītās puses tika pietiekami iesaistītas un atbalsta plānu</w:t>
      </w:r>
    </w:p>
    <w:p w14:paraId="29D01FCF" w14:textId="77777777" w:rsidR="00E771A9" w:rsidRPr="002A7D65" w:rsidRDefault="00E771A9" w:rsidP="00E771A9">
      <w:pPr>
        <w:pStyle w:val="ListParagraph"/>
        <w:numPr>
          <w:ilvl w:val="0"/>
          <w:numId w:val="16"/>
        </w:numPr>
        <w:rPr>
          <w:rFonts w:asciiTheme="minorHAnsi" w:hAnsiTheme="minorHAnsi" w:cstheme="minorHAnsi"/>
          <w:sz w:val="24"/>
        </w:rPr>
      </w:pPr>
      <w:r w:rsidRPr="002A7D65">
        <w:rPr>
          <w:rFonts w:asciiTheme="minorHAnsi" w:hAnsiTheme="minorHAnsi" w:cstheme="minorHAnsi"/>
          <w:sz w:val="24"/>
        </w:rPr>
        <w:t>Iestādes plāns ir reālistisks, ņemot vērā iestādes resursus, instrumentus un organizatoriskos procesus.</w:t>
      </w:r>
    </w:p>
    <w:p w14:paraId="306104BE" w14:textId="77777777" w:rsidR="00E771A9" w:rsidRPr="002A7D65" w:rsidRDefault="00E771A9" w:rsidP="00E771A9">
      <w:pPr>
        <w:rPr>
          <w:rFonts w:cstheme="minorHAnsi"/>
        </w:rPr>
      </w:pPr>
      <w:r w:rsidRPr="002A7D65">
        <w:rPr>
          <w:rFonts w:cstheme="minorHAnsi"/>
        </w:rPr>
        <w:t xml:space="preserve">Ja plāns netiek atbalstīts, tad iestādei ir gads, lai iesniegtu jaunu plānu. </w:t>
      </w:r>
    </w:p>
    <w:p w14:paraId="14FFBDE0" w14:textId="77777777" w:rsidR="00E771A9" w:rsidRPr="002A7D65" w:rsidRDefault="00E771A9" w:rsidP="00E771A9">
      <w:r w:rsidRPr="002A7D65">
        <w:rPr>
          <w:rFonts w:cstheme="minorBidi"/>
        </w:rPr>
        <w:lastRenderedPageBreak/>
        <w:t>Tāpat arī iestādēm, kuru plāni ir apstiprināti, ir katru gadu jāatskaitās par to izpildi. Tāpat arī akreditācijas aģentūra veic plāna starpposma</w:t>
      </w:r>
      <w:r w:rsidRPr="002A7D65">
        <w:t xml:space="preserve"> novērtējumu. Iestādes iekšējo iesaistīto pušu padomei ir arī jāreflektē par plāna izpildi un pušu iesaisti.</w:t>
      </w:r>
    </w:p>
    <w:p w14:paraId="3223ED7A" w14:textId="77777777" w:rsidR="00E771A9" w:rsidRPr="002A7D65" w:rsidRDefault="00E771A9" w:rsidP="00E771A9">
      <w:r w:rsidRPr="002A7D65">
        <w:t xml:space="preserve">Pēc plānu izvērtēšanas un ministra lēmuma, akreditācijas aģentūra publicēs ziņojumu par snieguma līgumu izpildi valstī un katrā individuālā iestādē. Tāpat arī ir paredzētas minimālās finansiālās sankcijas par plānu neizpildi. Situācijā, ja iestādes starpposma izvērtējums ir negatīvs, tad iestāde vairs nesaņem finansējuma plāna turpinājumam, bet finansējums tiek piešķirts stipendijas formā iestādes akadēmiskajam personālam, lai tas attīstītu studiju kvalitāti. </w:t>
      </w:r>
    </w:p>
    <w:p w14:paraId="275A3684" w14:textId="77777777" w:rsidR="00E771A9" w:rsidRPr="002A7D65" w:rsidRDefault="00E771A9" w:rsidP="00E771A9"/>
    <w:p w14:paraId="4AEA2D96" w14:textId="77777777" w:rsidR="00E771A9" w:rsidRPr="002A7D65" w:rsidRDefault="00E771A9" w:rsidP="00E771A9"/>
    <w:p w14:paraId="14E39FD9" w14:textId="77777777" w:rsidR="00E771A9" w:rsidRPr="002A7D65" w:rsidRDefault="00E771A9" w:rsidP="00E771A9"/>
    <w:p w14:paraId="7B77FED3" w14:textId="77777777" w:rsidR="00E771A9" w:rsidRPr="002A7D65" w:rsidRDefault="00E771A9" w:rsidP="00E771A9">
      <w:pPr>
        <w:spacing w:after="160"/>
        <w:ind w:firstLine="0"/>
        <w:jc w:val="left"/>
        <w:rPr>
          <w:rFonts w:asciiTheme="majorHAnsi" w:eastAsiaTheme="majorEastAsia" w:hAnsiTheme="majorHAnsi" w:cstheme="majorBidi"/>
          <w:b/>
          <w:color w:val="7030A0"/>
        </w:rPr>
      </w:pPr>
      <w:r w:rsidRPr="002A7D65">
        <w:br w:type="page"/>
      </w:r>
    </w:p>
    <w:p w14:paraId="4577F14B" w14:textId="77777777" w:rsidR="00E771A9" w:rsidRPr="002A7D65" w:rsidRDefault="00E771A9" w:rsidP="003F615E">
      <w:pPr>
        <w:pStyle w:val="Heading3"/>
        <w:numPr>
          <w:ilvl w:val="1"/>
          <w:numId w:val="24"/>
        </w:numPr>
      </w:pPr>
      <w:bookmarkStart w:id="49" w:name="_Toc159325076"/>
      <w:bookmarkStart w:id="50" w:name="_Toc159577424"/>
      <w:bookmarkStart w:id="51" w:name="_Toc160457596"/>
      <w:bookmarkStart w:id="52" w:name="_Toc167452341"/>
      <w:r w:rsidRPr="002A7D65">
        <w:lastRenderedPageBreak/>
        <w:t>Citu valstu pieredze bezmaksas augstākās izglītības ieviešanā</w:t>
      </w:r>
      <w:bookmarkEnd w:id="49"/>
      <w:bookmarkEnd w:id="50"/>
      <w:bookmarkEnd w:id="51"/>
      <w:bookmarkEnd w:id="52"/>
    </w:p>
    <w:p w14:paraId="2570A1D7" w14:textId="77777777" w:rsidR="00E771A9" w:rsidRPr="002A7D65" w:rsidRDefault="00E771A9" w:rsidP="00E771A9">
      <w:pPr>
        <w:ind w:firstLine="0"/>
        <w:rPr>
          <w:i/>
          <w:iCs/>
        </w:rPr>
      </w:pPr>
    </w:p>
    <w:p w14:paraId="6CFD758B" w14:textId="77777777" w:rsidR="00E771A9" w:rsidRPr="002A7D65" w:rsidRDefault="00E771A9" w:rsidP="00E771A9">
      <w:pPr>
        <w:spacing w:after="160"/>
        <w:ind w:firstLine="0"/>
        <w:jc w:val="left"/>
      </w:pPr>
      <w:r w:rsidRPr="002A7D65">
        <w:t>Aplūkojot analīzē iekļauto valstu augstākās izglītības sistēmas, ir izdarāmi šādi secinājumi:</w:t>
      </w:r>
    </w:p>
    <w:p w14:paraId="5293376D" w14:textId="77777777" w:rsidR="00E771A9" w:rsidRPr="002A7D65" w:rsidRDefault="00E771A9" w:rsidP="00E771A9">
      <w:pPr>
        <w:numPr>
          <w:ilvl w:val="0"/>
          <w:numId w:val="3"/>
        </w:numPr>
        <w:spacing w:after="160"/>
        <w:jc w:val="left"/>
      </w:pPr>
      <w:r w:rsidRPr="002A7D65">
        <w:t>visas valstis, izņemot Igauniju, pilna laika studējošajiem pamatstudiju un augstākā līmeņa studiju programmu apguvi nodrošina bez maksas, tostarp starptautiskajiem studējošajiem, kas nāk no ES vai EEZ valstīm). Igaunijā bezmaksas studijas ir pieejamas tikai igauņu valodā studējošajiem;</w:t>
      </w:r>
    </w:p>
    <w:p w14:paraId="74C23A05" w14:textId="77777777" w:rsidR="00E771A9" w:rsidRPr="002A7D65" w:rsidRDefault="00E771A9" w:rsidP="00E771A9">
      <w:pPr>
        <w:numPr>
          <w:ilvl w:val="0"/>
          <w:numId w:val="3"/>
        </w:numPr>
        <w:spacing w:after="160"/>
        <w:jc w:val="left"/>
      </w:pPr>
      <w:r w:rsidRPr="002A7D65">
        <w:t>Dānijā un Zviedrijā studiju maksu piemēro studējošajiem, kuri ierodas no ES vai EEZ neietilpstošām valstīm, bet, studējot valsts valodā, bezmaksas studijas šiem studējošajiem ir pieejamas Igaunijā un Somijā. Savukārt Norvēģijā nosacījumi attiecībā uz bezmaksas augstākās izglītības iegūšanu ir vienādi visiem studējošajiem;</w:t>
      </w:r>
    </w:p>
    <w:p w14:paraId="5A38C175" w14:textId="77777777" w:rsidR="00E771A9" w:rsidRPr="002A7D65" w:rsidRDefault="00E771A9" w:rsidP="00E771A9">
      <w:pPr>
        <w:numPr>
          <w:ilvl w:val="0"/>
          <w:numId w:val="3"/>
        </w:numPr>
        <w:spacing w:after="160"/>
        <w:jc w:val="left"/>
      </w:pPr>
      <w:r w:rsidRPr="002A7D65">
        <w:t>analīzē iekļautajās valstīs pastāv valsts finansiālā atbalsta mehānismi par akadēmiskajiem sasniegumiem vai studējošo vajadzību nodrošināšanai (sociālais atbalsts). Ziņojums arī parāda, ka Latvija ir viena no retajām valstīm Eiropā, kura studējošajiem nenodrošina sociālo atbalstu (skat. 11. attēlu);</w:t>
      </w:r>
    </w:p>
    <w:p w14:paraId="4E629838" w14:textId="77777777" w:rsidR="00E771A9" w:rsidRPr="002A7D65" w:rsidRDefault="00E771A9" w:rsidP="00E771A9">
      <w:pPr>
        <w:numPr>
          <w:ilvl w:val="0"/>
          <w:numId w:val="3"/>
        </w:numPr>
        <w:spacing w:after="160"/>
        <w:jc w:val="left"/>
      </w:pPr>
      <w:r w:rsidRPr="002A7D65">
        <w:t>izņemot Igauniju, visās valstīs vismaz 50% pamatstudiju pilna laika studējošie saņem vai nu abu veidu – par akadēmiskajiem sasniegumiem un sociālo atbalstu – finansiālo atbalstu, vai nu tikai sociālo atbalstu. Zviedrijā un Dānijā atbalsta saņēmēju īpatsvars sasniedz vismaz 75%;</w:t>
      </w:r>
    </w:p>
    <w:p w14:paraId="377679B5" w14:textId="0404C7F5" w:rsidR="00E771A9" w:rsidRPr="002A7D65" w:rsidRDefault="00E771A9" w:rsidP="00E771A9">
      <w:pPr>
        <w:numPr>
          <w:ilvl w:val="0"/>
          <w:numId w:val="3"/>
        </w:numPr>
        <w:spacing w:after="160"/>
        <w:jc w:val="left"/>
      </w:pPr>
      <w:r w:rsidRPr="002A7D65">
        <w:t xml:space="preserve">vairumā valstu studējošais abu veidu vai tikai sociālajam atbalstam gadā vidēji saņem virs 3000 </w:t>
      </w:r>
      <w:r w:rsidR="001673CC">
        <w:rPr>
          <w:i/>
          <w:iCs/>
        </w:rPr>
        <w:t>euro</w:t>
      </w:r>
      <w:r w:rsidRPr="002A7D65">
        <w:t xml:space="preserve">. Lielāko atbalstu saņem Dānijā (virs 5000 </w:t>
      </w:r>
      <w:r w:rsidR="001673CC">
        <w:rPr>
          <w:i/>
          <w:iCs/>
        </w:rPr>
        <w:t>euro</w:t>
      </w:r>
      <w:r w:rsidRPr="002A7D65">
        <w:t xml:space="preserve">), zemāko – Igaunijā (100–1000 </w:t>
      </w:r>
      <w:r w:rsidR="001673CC">
        <w:rPr>
          <w:i/>
          <w:iCs/>
        </w:rPr>
        <w:t>euro</w:t>
      </w:r>
      <w:r w:rsidRPr="002A7D65">
        <w:t>);</w:t>
      </w:r>
    </w:p>
    <w:p w14:paraId="5727D4AB" w14:textId="77777777" w:rsidR="00E771A9" w:rsidRPr="002A7D65" w:rsidRDefault="00E771A9" w:rsidP="00E771A9">
      <w:pPr>
        <w:numPr>
          <w:ilvl w:val="0"/>
          <w:numId w:val="3"/>
        </w:numPr>
        <w:spacing w:after="160"/>
        <w:jc w:val="left"/>
      </w:pPr>
      <w:r w:rsidRPr="002A7D65">
        <w:t>visās valstīs ir pieejami valsts garantēti aizdevumi. Izņemot Igauniju, vismaz 15% studējošo izmanto iespēju aizņemties. Norvēģijā un Zviedrijā īpatsvars pārsniedz 50%, bet Dānijā un Somijā tas ir 15-49,9% robežās. Igaunijā šis īpatsvars ir līdz 15%;</w:t>
      </w:r>
    </w:p>
    <w:p w14:paraId="2E167BA4" w14:textId="77777777" w:rsidR="00E771A9" w:rsidRPr="002A7D65" w:rsidRDefault="00E771A9" w:rsidP="00E771A9">
      <w:pPr>
        <w:numPr>
          <w:ilvl w:val="0"/>
          <w:numId w:val="3"/>
        </w:numPr>
        <w:spacing w:after="160"/>
        <w:jc w:val="left"/>
      </w:pPr>
      <w:r w:rsidRPr="002A7D65">
        <w:t>lielākā daļa valstu nenodrošina finansiālā atbalsta mehānismus studējošo vecākiem. Tāds pastāv tikai Igaunijā, kur vecākiem ir pieejami nodokļu atvieglojumi;</w:t>
      </w:r>
    </w:p>
    <w:p w14:paraId="2F91FC0D" w14:textId="0EC1BF65" w:rsidR="00E771A9" w:rsidRPr="002A7D65" w:rsidRDefault="00E771A9" w:rsidP="00E771A9">
      <w:pPr>
        <w:numPr>
          <w:ilvl w:val="0"/>
          <w:numId w:val="3"/>
        </w:numPr>
        <w:spacing w:after="160"/>
        <w:jc w:val="left"/>
      </w:pPr>
      <w:r w:rsidRPr="002A7D65">
        <w:t xml:space="preserve">neskaitot Latviju, tikai Dānija Covid-19 pandēmijas radīto seku dēļ ir īstenojusi papildu finansiālu atbalstu – vienreizēju maksājumu 134 </w:t>
      </w:r>
      <w:r w:rsidR="001673CC" w:rsidRPr="001673CC">
        <w:rPr>
          <w:i/>
          <w:iCs/>
        </w:rPr>
        <w:t xml:space="preserve">euro </w:t>
      </w:r>
      <w:r w:rsidRPr="002A7D65">
        <w:t>apmērā studējošajiem, kuri jau 2020. gada pavasarī izmantoja valsts finansiālā atbalsta mehānismus.</w:t>
      </w:r>
    </w:p>
    <w:p w14:paraId="0E7F3E6A" w14:textId="05F7ACB5" w:rsidR="00E771A9" w:rsidRPr="002A7D65" w:rsidRDefault="00E771A9" w:rsidP="00E771A9">
      <w:pPr>
        <w:spacing w:after="160"/>
        <w:ind w:firstLine="0"/>
        <w:jc w:val="left"/>
      </w:pPr>
      <w:r w:rsidRPr="002A7D65">
        <w:rPr>
          <w:noProof/>
        </w:rPr>
        <w:lastRenderedPageBreak/>
        <w:drawing>
          <wp:anchor distT="0" distB="0" distL="114300" distR="114300" simplePos="0" relativeHeight="251670528" behindDoc="0" locked="0" layoutInCell="1" allowOverlap="1" wp14:anchorId="741AFD11" wp14:editId="4A6B7514">
            <wp:simplePos x="0" y="0"/>
            <wp:positionH relativeFrom="column">
              <wp:align>center</wp:align>
            </wp:positionH>
            <wp:positionV relativeFrom="paragraph">
              <wp:posOffset>356235</wp:posOffset>
            </wp:positionV>
            <wp:extent cx="3410712" cy="2670048"/>
            <wp:effectExtent l="0" t="0" r="0" b="0"/>
            <wp:wrapTopAndBottom/>
            <wp:docPr id="1974328474" name="Picture 1974328474" descr="A map of europe with different colored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328474" name="Picture 1974328474" descr="A map of europe with different colored squares&#10;&#10;Description automatically generated with medium confidenc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10712" cy="2670048"/>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7D65">
        <w:rPr>
          <w:i/>
          <w:iCs/>
        </w:rPr>
        <w:t>11. attēls:</w:t>
      </w:r>
      <w:r w:rsidRPr="002A7D65">
        <w:rPr>
          <w:b/>
          <w:bCs/>
        </w:rPr>
        <w:t xml:space="preserve"> Studējošajiem pieejamie finansiālā atbalsta mehānismu veidi Eiropas valstīs</w:t>
      </w:r>
      <w:r w:rsidRPr="002A7D65">
        <w:rPr>
          <w:b/>
          <w:bCs/>
        </w:rPr>
        <w:br/>
      </w:r>
      <w:r w:rsidRPr="002A7D65">
        <w:t xml:space="preserve">(Avots: </w:t>
      </w:r>
      <w:r w:rsidRPr="002A7D65">
        <w:fldChar w:fldCharType="begin"/>
      </w:r>
      <w:r w:rsidRPr="002A7D65">
        <w:instrText xml:space="preserve"> ADDIN ZOTERO_ITEM CSL_CITATION {"citationID":"AqG7shyx","properties":{"formattedCitation":"(European Commission/EACEA/Eurydice, 2020)","plainCitation":"(European Commission/EACEA/Eurydice, 2020)","noteIndex":0},"citationItems":[{"id":"1UWm9USB/MqcCNpO3","uris":["http://zotero.org/users/7276493/items/SYCBS86D"],"uri":["http://zotero.org/users/7276493/items/SYCBS86D"],"itemData":{"id":15,"type":"book","event-place":"Luxembourg","ISBN":"978-92-9484-361-6","language":"English","publisher":"Publications Office of the European Union","publisher-place":"Luxembourg","source":"Open WorldCat","title":"National Student Fee and Support Systems in European Higher Education – 2020/21","title-short":"National student fee and support systems in European higher education","URL":"https://eacea.ec.europa.eu/national-policies/eurydice/content/national-student-fee-and-support-systems-european-higher-education-202021_en","author":[{"literal":"European Commission/EACEA/Eurydice"}],"accessed":{"date-parts":[["2020",12,20]]},"issued":{"date-parts":[["2020"]]}}}],"schema":"https://github.com/citation-style-language/schema/raw/master/csl-citation.json"} </w:instrText>
      </w:r>
      <w:r w:rsidRPr="002A7D65">
        <w:fldChar w:fldCharType="separate"/>
      </w:r>
      <w:r w:rsidRPr="002A7D65">
        <w:t>(</w:t>
      </w:r>
      <w:r w:rsidR="00C16B07" w:rsidRPr="00C16B07">
        <w:rPr>
          <w:i/>
          <w:iCs/>
        </w:rPr>
        <w:t>Euro</w:t>
      </w:r>
      <w:r w:rsidRPr="002A7D65">
        <w:t>pean Commission/EACEA/Eurydice, 2020)</w:t>
      </w:r>
      <w:r w:rsidRPr="002A7D65">
        <w:fldChar w:fldCharType="end"/>
      </w:r>
      <w:r w:rsidRPr="002A7D65">
        <w:t>)</w:t>
      </w:r>
    </w:p>
    <w:p w14:paraId="428A2B1F" w14:textId="77777777" w:rsidR="00E771A9" w:rsidRPr="002A7D65" w:rsidRDefault="00E771A9" w:rsidP="00E771A9">
      <w:pPr>
        <w:spacing w:after="160"/>
        <w:ind w:firstLine="0"/>
        <w:jc w:val="left"/>
      </w:pPr>
    </w:p>
    <w:p w14:paraId="49A50A18" w14:textId="77777777" w:rsidR="00E771A9" w:rsidRPr="002A7D65" w:rsidRDefault="00E771A9" w:rsidP="00E771A9">
      <w:pPr>
        <w:spacing w:after="160"/>
        <w:ind w:firstLine="0"/>
        <w:jc w:val="left"/>
      </w:pPr>
      <w:r w:rsidRPr="002A7D65">
        <w:t>Pirms bezmaksas augstākās izglītības un finansiālā atbalsta mehānismu analīzes citās valstīs, salīdzināmības nolūkos šajos aspektos nepieciešams aplūkot arī Latvijas augstākās izglītības sistēmu.</w:t>
      </w:r>
    </w:p>
    <w:p w14:paraId="5B811FA5" w14:textId="46C5CA07" w:rsidR="00E771A9" w:rsidRPr="002A7D65" w:rsidRDefault="00E771A9" w:rsidP="00E771A9">
      <w:pPr>
        <w:spacing w:after="160"/>
        <w:ind w:firstLine="0"/>
        <w:jc w:val="left"/>
      </w:pPr>
      <w:r w:rsidRPr="002A7D65">
        <w:t xml:space="preserve">Piesakoties studijām pamatstudiju un augstākā līmeņa studiju programmās, potenciālie studējošie iemaksā reģistrācijas maksu 20-35 </w:t>
      </w:r>
      <w:r w:rsidR="001673CC" w:rsidRPr="001673CC">
        <w:rPr>
          <w:i/>
          <w:iCs/>
        </w:rPr>
        <w:t xml:space="preserve">euro </w:t>
      </w:r>
      <w:r w:rsidRPr="002A7D65">
        <w:t xml:space="preserve">apmērā. Latvijā pastāv divi pamata studiju finansēšanas modeļi: valsts dotētās studiju vietas un maksas studiju vietas. Iespēju studēt bez maksas iegūst tie studējošie, kuri uzrāda labākos akadēmiskos rezultātus. Gada maksa pamatstudiju programmās ir no 700 līdz 7770 </w:t>
      </w:r>
      <w:r w:rsidR="001673CC">
        <w:rPr>
          <w:i/>
          <w:iCs/>
        </w:rPr>
        <w:t>euro</w:t>
      </w:r>
      <w:r w:rsidRPr="002A7D65">
        <w:t xml:space="preserve">, bet augstākā līmeņa studijās – no 1070 līdz 9550 </w:t>
      </w:r>
      <w:r w:rsidR="001673CC">
        <w:rPr>
          <w:i/>
          <w:iCs/>
        </w:rPr>
        <w:t>euro</w:t>
      </w:r>
      <w:r w:rsidRPr="002A7D65">
        <w:t>. Ja bez maksas studējošais uzrāda sliktus akadēmiskos rezultātus, viņu atbilstoši AII noteikumiem var pārvirzīt uz maksas studiju vietu vai otrādi. Kopumā 41,8% pilna laika pamatstudijās un 45,8% augstākā līmeņa studijās studējošie 2018./ 2019. akadēmiskajā gadā maksāja par savām studijām.</w:t>
      </w:r>
    </w:p>
    <w:p w14:paraId="03A7F07C" w14:textId="30C0CC2B" w:rsidR="00E771A9" w:rsidRPr="002A7D65" w:rsidRDefault="00E771A9" w:rsidP="00E771A9">
      <w:pPr>
        <w:spacing w:after="160"/>
        <w:ind w:firstLine="0"/>
        <w:jc w:val="left"/>
      </w:pPr>
      <w:r w:rsidRPr="002A7D65">
        <w:lastRenderedPageBreak/>
        <w:t xml:space="preserve">Savukārt ārvalstu studējošiem, kuri nāk no ES vai EEZ neietilpstošām valstīm, par studijām (studiju programmas angļu valodā) maksā vairāk – no 1800 līdz 15 000 </w:t>
      </w:r>
      <w:r w:rsidR="001673CC" w:rsidRPr="001673CC">
        <w:rPr>
          <w:i/>
          <w:iCs/>
        </w:rPr>
        <w:t xml:space="preserve">euro </w:t>
      </w:r>
      <w:r w:rsidRPr="002A7D65">
        <w:t>gadā.</w:t>
      </w:r>
    </w:p>
    <w:p w14:paraId="5CC17BF8" w14:textId="41E67E5C" w:rsidR="00E771A9" w:rsidRPr="002A7D65" w:rsidRDefault="00E771A9" w:rsidP="00E771A9">
      <w:pPr>
        <w:spacing w:after="160"/>
        <w:ind w:firstLine="0"/>
        <w:jc w:val="left"/>
      </w:pPr>
      <w:r w:rsidRPr="002A7D65">
        <w:rPr>
          <w:noProof/>
        </w:rPr>
        <w:drawing>
          <wp:anchor distT="0" distB="0" distL="114300" distR="114300" simplePos="0" relativeHeight="251671552" behindDoc="0" locked="0" layoutInCell="1" allowOverlap="1" wp14:anchorId="17775C81" wp14:editId="0A3E23B9">
            <wp:simplePos x="0" y="0"/>
            <wp:positionH relativeFrom="column">
              <wp:posOffset>763239</wp:posOffset>
            </wp:positionH>
            <wp:positionV relativeFrom="paragraph">
              <wp:posOffset>347980</wp:posOffset>
            </wp:positionV>
            <wp:extent cx="4590288" cy="1801368"/>
            <wp:effectExtent l="0" t="0" r="1270" b="8890"/>
            <wp:wrapTopAndBottom/>
            <wp:docPr id="876624848" name="Picture 876624848" descr="A picture containing text, screenshot, fon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624848" name="Picture 876624848" descr="A picture containing text, screenshot, font, number&#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590288" cy="1801368"/>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7D65">
        <w:rPr>
          <w:i/>
          <w:iCs/>
        </w:rPr>
        <w:t>12. attēls:</w:t>
      </w:r>
      <w:r w:rsidRPr="002A7D65">
        <w:rPr>
          <w:b/>
          <w:bCs/>
        </w:rPr>
        <w:t xml:space="preserve"> Studiju maksa un finansiālie atbalsta mehānismi studējošajiem Latvijā</w:t>
      </w:r>
      <w:r w:rsidRPr="002A7D65">
        <w:rPr>
          <w:b/>
          <w:bCs/>
        </w:rPr>
        <w:br/>
      </w:r>
      <w:r w:rsidRPr="002A7D65">
        <w:t xml:space="preserve">(Avots: </w:t>
      </w:r>
      <w:r w:rsidRPr="002A7D65">
        <w:fldChar w:fldCharType="begin"/>
      </w:r>
      <w:r w:rsidRPr="002A7D65">
        <w:instrText xml:space="preserve"> ADDIN ZOTERO_ITEM CSL_CITATION {"citationID":"Dppf7E43","properties":{"formattedCitation":"(European Commission/EACEA/Eurydice, 2020)","plainCitation":"(European Commission/EACEA/Eurydice, 2020)","noteIndex":0},"citationItems":[{"id":"1UWm9USB/MqcCNpO3","uris":["http://zotero.org/users/7276493/items/SYCBS86D"],"uri":["http://zotero.org/users/7276493/items/SYCBS86D"],"itemData":{"id":15,"type":"book","event-place":"Luxembourg","ISBN":"978-92-9484-361-6","language":"English","publisher":"Publications Office of the European Union","publisher-place":"Luxembourg","source":"Open WorldCat","title":"National Student Fee and Support Systems in European Higher Education – 2020/21","title-short":"National student fee and support systems in European higher education","URL":"https://eacea.ec.europa.eu/national-policies/eurydice/content/national-student-fee-and-support-systems-european-higher-education-202021_en","author":[{"literal":"European Commission/EACEA/Eurydice"}],"accessed":{"date-parts":[["2020",12,20]]},"issued":{"date-parts":[["2020"]]}}}],"schema":"https://github.com/citation-style-language/schema/raw/master/csl-citation.json"} </w:instrText>
      </w:r>
      <w:r w:rsidRPr="002A7D65">
        <w:fldChar w:fldCharType="separate"/>
      </w:r>
      <w:r w:rsidRPr="002A7D65">
        <w:t>(</w:t>
      </w:r>
      <w:r w:rsidR="00C16B07" w:rsidRPr="00C16B07">
        <w:rPr>
          <w:i/>
          <w:iCs/>
        </w:rPr>
        <w:t>Euro</w:t>
      </w:r>
      <w:r w:rsidRPr="002A7D65">
        <w:t>pean Commission/EACEA/Eurydice, 2020)</w:t>
      </w:r>
      <w:r w:rsidRPr="002A7D65">
        <w:fldChar w:fldCharType="end"/>
      </w:r>
      <w:r w:rsidRPr="002A7D65">
        <w:t>)</w:t>
      </w:r>
    </w:p>
    <w:p w14:paraId="05BDB868" w14:textId="77777777" w:rsidR="00E771A9" w:rsidRPr="002A7D65" w:rsidRDefault="00E771A9" w:rsidP="00E771A9">
      <w:pPr>
        <w:spacing w:after="160"/>
        <w:ind w:firstLine="0"/>
        <w:jc w:val="left"/>
      </w:pPr>
    </w:p>
    <w:p w14:paraId="5A58230E" w14:textId="5F3256B6" w:rsidR="00E771A9" w:rsidRPr="002A7D65" w:rsidRDefault="00E771A9" w:rsidP="00E771A9">
      <w:pPr>
        <w:spacing w:after="160"/>
        <w:ind w:firstLine="0"/>
        <w:jc w:val="left"/>
      </w:pPr>
      <w:r w:rsidRPr="002A7D65">
        <w:t xml:space="preserve">Valsts dotācijas studējošajiem galvenokārt tiek nodrošinātas par akadēmiskajiem sasniegumiem, un tās ir pieejamas tikai pilna laika studējošajiem, kas studē bez maksas. Vienlaikus, piešķirot šo atbalstu, prioritāri ir nelabvēlīgā situācijā esošie studējošie, piemēram, ar invaliditāti, bāreņa statusu vai personām no daudzbērnu ģimenēm. Dotācijas apmērs ir 99,6 </w:t>
      </w:r>
      <w:r w:rsidR="001673CC">
        <w:rPr>
          <w:i/>
          <w:iCs/>
        </w:rPr>
        <w:t>euro</w:t>
      </w:r>
      <w:r w:rsidRPr="002A7D65">
        <w:t xml:space="preserve">, ko izmaksā desmit mēnešu garumā, taču tas saistībā ar Covid-19 pandēmijas radītajām sekām 2020./ 2021. akadēmiskajā gadā tika palielināts līdz 200 </w:t>
      </w:r>
      <w:r w:rsidR="001673CC">
        <w:rPr>
          <w:i/>
          <w:iCs/>
        </w:rPr>
        <w:t>euro</w:t>
      </w:r>
      <w:r w:rsidRPr="002A7D65">
        <w:t>. Aptuveni 5% studējošo pamatstudijās un augstākā līmeņa studijās saņem šo atbalstu.</w:t>
      </w:r>
    </w:p>
    <w:p w14:paraId="0245AF8C" w14:textId="205BAA3F" w:rsidR="00E771A9" w:rsidRPr="002A7D65" w:rsidRDefault="00E771A9" w:rsidP="00E771A9">
      <w:pPr>
        <w:spacing w:after="160"/>
        <w:ind w:firstLine="0"/>
        <w:jc w:val="left"/>
      </w:pPr>
      <w:r w:rsidRPr="002A7D65">
        <w:t xml:space="preserve">Tāpat pilna laika studējošie, kuri studē bez maksas, var pieteikties vienreizējai, akadēmiskajos nopelnos balstītai dotācijai 199,2 </w:t>
      </w:r>
      <w:r w:rsidR="001673CC" w:rsidRPr="001673CC">
        <w:rPr>
          <w:i/>
          <w:iCs/>
        </w:rPr>
        <w:t xml:space="preserve">euro </w:t>
      </w:r>
      <w:r w:rsidRPr="002A7D65">
        <w:t xml:space="preserve">apmērā, ko nodrošina AII. </w:t>
      </w:r>
    </w:p>
    <w:p w14:paraId="466C5112" w14:textId="77777777" w:rsidR="00E771A9" w:rsidRPr="002A7D65" w:rsidRDefault="00E771A9" w:rsidP="00E771A9">
      <w:pPr>
        <w:spacing w:after="160"/>
        <w:ind w:firstLine="0"/>
        <w:jc w:val="left"/>
      </w:pPr>
      <w:r w:rsidRPr="002A7D65">
        <w:t>Latvijas un citu ES valstu pilsoņiem ir iespēja pieteikties divu veidu valsts garantētiem aizdevumiem – studiju, kas paredzēts studiju maksai, un studējošo, kas paredzēts ikdienas vajadzību nodrošināšanai. Aizdevuma atmaksa ir jāuzsāk ne vēlāk kā 12 mēnešus pēc studiju beigām. Ja absolventam ir bērns vai bērnu adoptē, valsts pēc studiju noslēguma sedz 30% no neatmaksātā studējošā aizdevuma.</w:t>
      </w:r>
    </w:p>
    <w:p w14:paraId="446EF6C2" w14:textId="19255E12" w:rsidR="00E771A9" w:rsidRPr="002A7D65" w:rsidRDefault="00390A00" w:rsidP="00E771A9">
      <w:pPr>
        <w:spacing w:after="160"/>
        <w:ind w:firstLine="0"/>
        <w:jc w:val="left"/>
      </w:pPr>
      <w:r w:rsidRPr="00390A00">
        <w:lastRenderedPageBreak/>
        <w:t>Tāpat Latvijā pastāv iespēja studējošo vecākiem, kuru atvases nav sasniegušas 24 gadu vecumu, piemērot iedzīvotāju ienākuma nodokļa atvieglojumu par apgādībā esošu personu (studējošo līdz 24 gadu vecuma sasniegšanai) 250 euro apmērā/mēnesī (par minēto summu samazina studējošā vecāka atalgojuma apmēru, kuru apliek ar iedzīvotāju ienākuma nodokli)</w:t>
      </w:r>
      <w:r>
        <w:t xml:space="preserve">. </w:t>
      </w:r>
    </w:p>
    <w:p w14:paraId="6FFD4B70" w14:textId="77777777" w:rsidR="00E771A9" w:rsidRPr="002A7D65" w:rsidRDefault="00E771A9" w:rsidP="00491B9A">
      <w:pPr>
        <w:pStyle w:val="Heading4"/>
      </w:pPr>
      <w:r w:rsidRPr="002A7D65">
        <w:t>Bezmaksas augstākās izglītības sniegtās iespējas</w:t>
      </w:r>
    </w:p>
    <w:p w14:paraId="6343F528" w14:textId="77777777" w:rsidR="00E771A9" w:rsidRPr="002A7D65" w:rsidRDefault="00E771A9" w:rsidP="00E771A9">
      <w:r w:rsidRPr="002A7D65">
        <w:t xml:space="preserve">Viens no pasaules slavenākajiem reģioniem ar bezmaksas augstāko izglītību ir Skandināvija. Skandināvu valstīs valsts dotēta augstākā izglītība tiek uzskatīta par daļu no skandināvu labklājības valsts modeļa, kura mērķi ir mazināt nevienlīdzību sabiedrībā, kā arī sagatavot profesionāļus un līderus, kas spētu attīstīt šo labklājības valsts modeli </w:t>
      </w:r>
      <w:r w:rsidRPr="002A7D65">
        <w:fldChar w:fldCharType="begin"/>
      </w:r>
      <w:r w:rsidRPr="002A7D65">
        <w:instrText xml:space="preserve"> ADDIN ZOTERO_ITEM CSL_CITATION {"citationID":"gmrqISqy","properties":{"formattedCitation":"(Isopahkala-Bouret et al., 2018; J.-P. Thomsen et al., 2017)","plainCitation":"(Isopahkala-Bouret et al., 2018; J.-P. Thomsen et al., 2017)","noteIndex":0},"citationItems":[{"id":792,"uris":["http://zotero.org/users/3405954/items/M8FG6FSX"],"uri":["http://zotero.org/users/3405954/items/M8FG6FSX"],"itemData":{"id":792,"type":"article-journal","abstract":"The purpose of this review is to investigate cross-cutting research themes and issues related to access and stratification in Nordic higher education (H.E.) (Denmark, Iceland, Finland, Norway and Sweden). We synthesise how recent changes in H.E. policy, practise, and appropriations have influenced educational opportunities along social class, gender and age. In this review we highlight results and conclusions shared by various recent Nordic studies. The emphasis is on the common trends and patterns related to social stratification in access.","container-title":"Education Inquiry","DOI":"10.1080/20004508.2018.1429769","ISSN":"null","issue":"1","note":"publisher: Routledge\n_eprint: https://doi.org/10.1080/20004508.2018.1429769","page":"142-154","source":"Taylor and Francis+NEJM","title":"Access and stratification in Nordic higher education. A review of cross-cutting research themes and issues*","volume":"9","author":[{"family":"Isopahkala-Bouret","given":"Ulpukka"},{"family":"Börjesson","given":"Mikael"},{"family":"Beach","given":"Dennis"},{"family":"Haltia","given":"Nina"},{"family":"Jónasson","given":"Jón Torfi"},{"family":"Jauhiainen","given":"Annukka"},{"family":"Jauhiainen","given":"Arto"},{"family":"Kosunen","given":"Sonja"},{"family":"Nori","given":"Hanna"},{"family":"Vabø","given":"Agnete"}],"issued":{"date-parts":[["2018",1,2]]}}},{"id":795,"uris":["http://zotero.org/users/3405954/items/X6HWDESL"],"uri":["http://zotero.org/users/3405954/items/X6HWDESL"],"itemData":{"id":795,"type":"article-journal","abstract":"We examine changes in higher education (HE) participation in the four major Nordic countries—Denmark, Norway, Finland, and Sweden—from 1985 to 2010, a period characterized by widespread expansion of HE. We set up a methodological framework suitable for making country comparisons, and we profit from having unique administrative data in all four countries. We ask (i) whether HE expansion in the Nordic countries has been followed by a similar closing of the social gap in HE participation, and (ii) whether privileged groups have been able to maintain their advantage in HE participation. The results did not reveal similar trends in decrease in HE inequality despite expansion in all four countries. While Finland and Norway display the most substantial drop in overall HE inequality, the decrease in Denmark is more modest; Sweden shows no signs of decreasing inequality as HE expands. In short, expansion does not seem to be a universal remedy for narrowing the social gap in HE participation in the Nordic countries. Examining upper tertiary education by field of study, we find great disparities in selectivity, but we also find that the vast majority of fields have moved towards more equalization. However, prestigious professional university programmes such as law and medicine continue to favour more socially privileged children, albeit the social gap is narrowed substantially in Finland and Norway. These two countries also display the most substantial decrease in overall HE inequality.","container-title":"European Sociological Review","DOI":"10.1093/esr/jcw051","ISSN":"0266-7215","issue":"1","journalAbbreviation":"European Sociological Review","page":"98-111","source":"Silverchair","title":"Higher Education Participation in the Nordic Countries 1985–2010—A Comparative Perspective","volume":"33","author":[{"family":"Thomsen","given":"Jens-Peter"},{"family":"Bertilsson","given":"Emil"},{"family":"Dalberg","given":"Tobias"},{"family":"Hedman","given":"Juha"},{"family":"Helland","given":"Håvard"}],"issued":{"date-parts":[["2017",2,1]]}}}],"schema":"https://github.com/citation-style-language/schema/raw/master/csl-citation.json"} </w:instrText>
      </w:r>
      <w:r w:rsidRPr="002A7D65">
        <w:fldChar w:fldCharType="separate"/>
      </w:r>
      <w:r w:rsidRPr="002A7D65">
        <w:rPr>
          <w:rFonts w:cs="Arial"/>
        </w:rPr>
        <w:t>(Isopahkala-Bouret et al., 2018; J.-P. Thomsen et al., 2017)</w:t>
      </w:r>
      <w:r w:rsidRPr="002A7D65">
        <w:fldChar w:fldCharType="end"/>
      </w:r>
      <w:r w:rsidRPr="002A7D65">
        <w:t xml:space="preserve">. Tomēr arī šajās valstīs izglītības sistēmas ir ar būtiskām atšķirībām tajā, kā tās virzās uz šo mērķi. </w:t>
      </w:r>
    </w:p>
    <w:p w14:paraId="4120E7E8" w14:textId="77777777" w:rsidR="00E771A9" w:rsidRPr="002A7D65" w:rsidRDefault="00E771A9" w:rsidP="00E771A9">
      <w:r w:rsidRPr="002A7D65">
        <w:t xml:space="preserve">Skandināvu valstīs vienota iezīme ir valsts dotēta augstākā izglītība, kas radīta ar mērķi veicināt augstākās izglītības pieejamību un mazināt nevienlīdzību sabiedrībā. Skandināvu valstīs tiek uzskatīts, ka studiju maksas rada barjeras studējošajiem. Pētījumi arī secina, ka augstākās izglītības pieejamība Skandināvijā ir augstāka nekā cituviet </w:t>
      </w:r>
      <w:r w:rsidRPr="002A7D65">
        <w:fldChar w:fldCharType="begin"/>
      </w:r>
      <w:r w:rsidRPr="002A7D65">
        <w:instrText xml:space="preserve"> ADDIN ZOTERO_ITEM CSL_CITATION {"citationID":"5Bsd38UC","properties":{"formattedCitation":"(J. P. Thomsen, 2015)","plainCitation":"(J. P. Thomsen, 2015)","noteIndex":0},"citationItems":[{"id":798,"uris":["http://zotero.org/users/3405954/items/A3YU5ZFI"],"uri":["http://zotero.org/users/3405954/items/A3YU5ZFI"],"itemData":{"id":798,"type":"article-journal","abstract":"This article examines whether privileged social groups have managed to monopolize access to sought-after higher education (HE) programmes in a Scandinavian, universalist welfare state (Denmark) during a period of massive educational expansion (1984–2010). I apply an effectively maintained inequality (EMI) framework in which I (i) explicitly control for periods of educational expansion, (ii) disaggregate qualitatively different HE programmes, and (iii) profit from a novel way of constructing social origin, using relative measures of parental education and income. I find that probabilities of attending HE increases for almost all groups and types of programmes, and that the increase primarily occurs in periods of cohort-adjusted HE expansion. Measured by participation ratio (i.e. relative risk), neither sons nor daughters from culturally privileged backgrounds have maintained their advantage from 1984 to 2010 in access to HE in general. However, breaking down HE into four types of university programmes supports the EMI thesis as it is operationalized in this article. So, while inequality in access to HE has been reduced overall through the expansion of the HE system, this has only been achieved by channelling students of lower-educated parents to less-prestigious programmes.","container-title":"European Sociological Review","DOI":"10.1093/esr/jcv067","ISSN":"0266-7215","issue":"6","journalAbbreviation":"European Sociological Review","page":"683-696","source":"Silverchair","title":"Maintaining Inequality Effectively? Access to Higher Education Programmes in a Universalist Welfare State in Periods of Educational Expansion 1984–2010","title-short":"Maintaining Inequality Effectively?","volume":"31","author":[{"family":"Thomsen","given":"Jens Peter"}],"issued":{"date-parts":[["2015",12,1]]}}}],"schema":"https://github.com/citation-style-language/schema/raw/master/csl-citation.json"} </w:instrText>
      </w:r>
      <w:r w:rsidRPr="002A7D65">
        <w:fldChar w:fldCharType="separate"/>
      </w:r>
      <w:r w:rsidRPr="002A7D65">
        <w:rPr>
          <w:rFonts w:cs="Arial"/>
        </w:rPr>
        <w:t>(J. P. Thomsen, 2015)</w:t>
      </w:r>
      <w:r w:rsidRPr="002A7D65">
        <w:fldChar w:fldCharType="end"/>
      </w:r>
      <w:r w:rsidRPr="002A7D65">
        <w:t xml:space="preserve">. </w:t>
      </w:r>
    </w:p>
    <w:p w14:paraId="266D8A19" w14:textId="77777777" w:rsidR="00E771A9" w:rsidRPr="002A7D65" w:rsidRDefault="00E771A9" w:rsidP="00E771A9">
      <w:r w:rsidRPr="002A7D65">
        <w:t xml:space="preserve">Tāpat arī ārpus Skandināvijas notiek diskusijas par bezmaksas augstāko izglītību kā veidu, kā nodrošināt nepieciešamās prasmes 21. gadsimtam, jo īpaši ņemot vērā to, ka ieguldījumi augstākajā izglītībā atmaksājas valsts budžetam ar uzviju ilgtermiņā </w:t>
      </w:r>
      <w:r w:rsidRPr="002A7D65">
        <w:fldChar w:fldCharType="begin"/>
      </w:r>
      <w:r w:rsidRPr="002A7D65">
        <w:instrText xml:space="preserve"> ADDIN ZOTERO_ITEM CSL_CITATION {"citationID":"BZECvTXi","properties":{"formattedCitation":"(Deming, 2019; OECD, 2020)","plainCitation":"(Deming, 2019; OECD, 2020)","noteIndex":0},"citationItems":[{"id":815,"uris":["http://zotero.org/users/3405954/items/5U9WJTRA"],"uri":["http://zotero.org/users/3405954/items/5U9WJTRA"],"itemData":{"id":815,"type":"article-journal","abstract":"Despite growing public concern about the cost of college, higher education is still the best investment a young person can make. The American public understands that college is both increasingly necessary and increasingly unaffordable. This dynamic explains the growing public conversation around the idea of “free college”.","container-title":"Econfip","language":"en","page":"12","source":"Zotero","title":"The Economics of Free College","author":[{"family":"Deming","given":"David J"}],"issued":{"date-parts":[["2019"]]}}},{"id":816,"uris":["http://zotero.org/users/3405954/items/VFGF4F2J"],"uri":["http://zotero.org/users/3405954/items/VFGF4F2J"],"itemData":{"id":816,"type":"book","collection-title":"Education at a Glance","ISBN":"978-92-64-50078-5","language":"en","note":"DOI: 10.1787/69096873-en","publisher":"OECD","source":"DOI.org (Crossref)","title":"Education at a Glance 2020: OECD Indicators","title-short":"Education at a Glance 2020","URL":"https://www.oecd-ilibrary.org/education/education-at-a-glance-2020_69096873-en","author":[{"literal":"OECD"}],"accessed":{"date-parts":[["2020",12,15]]},"issued":{"date-parts":[["2020",9,8]]}}}],"schema":"https://github.com/citation-style-language/schema/raw/master/csl-citation.json"} </w:instrText>
      </w:r>
      <w:r w:rsidRPr="002A7D65">
        <w:fldChar w:fldCharType="separate"/>
      </w:r>
      <w:r w:rsidRPr="002A7D65">
        <w:rPr>
          <w:rFonts w:cs="Arial"/>
        </w:rPr>
        <w:t>(Deming, 2019; OECD, 2020)</w:t>
      </w:r>
      <w:r w:rsidRPr="002A7D65">
        <w:fldChar w:fldCharType="end"/>
      </w:r>
      <w:r w:rsidRPr="002A7D65">
        <w:t>.</w:t>
      </w:r>
    </w:p>
    <w:p w14:paraId="53579A40" w14:textId="77777777" w:rsidR="00E771A9" w:rsidRPr="002A7D65" w:rsidRDefault="00E771A9" w:rsidP="00E771A9">
      <w:r w:rsidRPr="002A7D65">
        <w:t xml:space="preserve">Bezmaksas augstākā izglītība ļauj valstij tiešāk iejaukties un kontrolēt reflektantu plūsmas. Tā, piemēram, kad Anglija aizvirzījās prom no bezmaksas augstākās izglītības un ieviesa studiju maksas, tad būtiski pieauga reflektantu īpatsvars, kas vēlējās studēt sociālās zinātnes </w:t>
      </w:r>
      <w:r w:rsidRPr="002A7D65">
        <w:fldChar w:fldCharType="begin"/>
      </w:r>
      <w:r w:rsidRPr="002A7D65">
        <w:instrText xml:space="preserve"> ADDIN ZOTERO_ITEM CSL_CITATION {"citationID":"sBh4eR5N","properties":{"formattedCitation":"(Murphy et al., 2019)","plainCitation":"(Murphy et al., 2019)","noteIndex":0},"citationItems":[{"id":786,"uris":["http://zotero.org/users/3405954/items/9IRTEJ2X"],"uri":["http://zotero.org/users/3405954/items/9IRTEJ2X"],"itemData":{"id":786,"type":"article-journal","abstract":"Despite increasing financial pressures on higher education systems throughout the world, many governments remain resolutely opposed to the introduction of tuition fees, and some countries and states where tuition fees have been long established are now reconsidering free higher education. This paper examines the consequences of charging tuition fees on university enrolments, equity, and proxies for institutional quality. To do so, we study the English higher education system which has, in just two decades, moved from a free college system to one in which tuition fees are among the highest in the world. Our findings suggest that England's shift has resulted in increased funding per head and rising enrolments, with no apparent widening of the participation gap between advantaged and disadvantaged students. The role of fees is moderated by other key features of higher education finance which may differ across countries: in contrast to other systems with high tuition fees, the English system is distinct in that its income-contingent loan system ensures that no tuition fees are paid upfront, and provides students with comparatively generous assistance for living expenses. Still, the English experience provides an instructive case for other countries considering implementing or abolishing tuition fees.","collection-title":"Higher Education Financing: Student Loans","container-title":"Economics of Education Review","DOI":"10.1016/j.econedurev.2018.11.007","ISSN":"0272-7757","journalAbbreviation":"Economics of Education Review","language":"en","page":"7-22","source":"ScienceDirect","title":"The end of free college in England: Implications for enrolments, equity, and quality","title-short":"The end of free college in England","volume":"71","author":[{"family":"Murphy","given":"Richard"},{"family":"Scott-Clayton","given":"Judith"},{"family":"Wyness","given":"Gill"}],"issued":{"date-parts":[["2019",8,1]]}}}],"schema":"https://github.com/citation-style-language/schema/raw/master/csl-citation.json"} </w:instrText>
      </w:r>
      <w:r w:rsidRPr="002A7D65">
        <w:fldChar w:fldCharType="separate"/>
      </w:r>
      <w:r w:rsidRPr="002A7D65">
        <w:rPr>
          <w:rFonts w:cs="Arial"/>
        </w:rPr>
        <w:t>(Murphy et al., 2019)</w:t>
      </w:r>
      <w:r w:rsidRPr="002A7D65">
        <w:fldChar w:fldCharType="end"/>
      </w:r>
      <w:r w:rsidRPr="002A7D65">
        <w:t xml:space="preserve">. </w:t>
      </w:r>
    </w:p>
    <w:p w14:paraId="62C579CA" w14:textId="77777777" w:rsidR="00E771A9" w:rsidRPr="002A7D65" w:rsidRDefault="00E771A9" w:rsidP="00E771A9"/>
    <w:p w14:paraId="4CDE33D7" w14:textId="77777777" w:rsidR="00E771A9" w:rsidRPr="002A7D65" w:rsidRDefault="00E771A9" w:rsidP="00491B9A">
      <w:pPr>
        <w:pStyle w:val="Heading4"/>
      </w:pPr>
      <w:r w:rsidRPr="002A7D65">
        <w:t>Bezmaksas augstākās izglītības sistēmas radītie izaicinājumi</w:t>
      </w:r>
    </w:p>
    <w:p w14:paraId="0377A9CF" w14:textId="77777777" w:rsidR="00E771A9" w:rsidRPr="002A7D65" w:rsidRDefault="00E771A9" w:rsidP="00E771A9"/>
    <w:p w14:paraId="20BA107D" w14:textId="77777777" w:rsidR="00E771A9" w:rsidRPr="002A7D65" w:rsidRDefault="00E771A9" w:rsidP="00E771A9">
      <w:r w:rsidRPr="002A7D65">
        <w:rPr>
          <w:lang w:eastAsia="lv-LV"/>
        </w:rPr>
        <w:t xml:space="preserve">Lai ilustrētu bezmaksas augstākās izglītības izaicinājumus, vispirms par piemēru ņemta Anglijas virzība prom no bezmaksas augstākās izglītības 1998. gadā. </w:t>
      </w:r>
    </w:p>
    <w:p w14:paraId="1D175E49" w14:textId="77777777" w:rsidR="00E771A9" w:rsidRPr="002A7D65" w:rsidRDefault="00E771A9" w:rsidP="00E771A9">
      <w:r w:rsidRPr="002A7D65">
        <w:t xml:space="preserve">Viens no Anglijas augstākās izglītības būtiskākajiem izaicinājumiem bezmaksas augstākās izglītības laikā bija tas, ka valsts finansējums nebija spējīgs pieaugt ar tādu pašu tempu, kā studējošo skaits. Tā rezultātā samazinājās finansējums uz vienu studējošo, kā arī valdība ieviesa kvotas uz to, cik daudz studējošo var studēt. Studējošo skaita ierobežojuma dēļ tika veicināta nevienlīdzība, jo vietas izkonkurēja tie, kuriem bija lielāks sociālais un ekonomiskais kapitāls </w:t>
      </w:r>
      <w:r w:rsidRPr="002A7D65">
        <w:fldChar w:fldCharType="begin"/>
      </w:r>
      <w:r w:rsidRPr="002A7D65">
        <w:instrText xml:space="preserve"> ADDIN ZOTERO_ITEM CSL_CITATION {"citationID":"lCJTCs0h","properties":{"formattedCitation":"(Murphy et al., 2019)","plainCitation":"(Murphy et al., 2019)","noteIndex":0},"citationItems":[{"id":786,"uris":["http://zotero.org/users/3405954/items/9IRTEJ2X"],"uri":["http://zotero.org/users/3405954/items/9IRTEJ2X"],"itemData":{"id":786,"type":"article-journal","abstract":"Despite increasing financial pressures on higher education systems throughout the world, many governments remain resolutely opposed to the introduction of tuition fees, and some countries and states where tuition fees have been long established are now reconsidering free higher education. This paper examines the consequences of charging tuition fees on university enrolments, equity, and proxies for institutional quality. To do so, we study the English higher education system which has, in just two decades, moved from a free college system to one in which tuition fees are among the highest in the world. Our findings suggest that England's shift has resulted in increased funding per head and rising enrolments, with no apparent widening of the participation gap between advantaged and disadvantaged students. The role of fees is moderated by other key features of higher education finance which may differ across countries: in contrast to other systems with high tuition fees, the English system is distinct in that its income-contingent loan system ensures that no tuition fees are paid upfront, and provides students with comparatively generous assistance for living expenses. Still, the English experience provides an instructive case for other countries considering implementing or abolishing tuition fees.","collection-title":"Higher Education Financing: Student Loans","container-title":"Economics of Education Review","DOI":"10.1016/j.econedurev.2018.11.007","ISSN":"0272-7757","journalAbbreviation":"Economics of Education Review","language":"en","page":"7-22","source":"ScienceDirect","title":"The end of free college in England: Implications for enrolments, equity, and quality","title-short":"The end of free college in England","volume":"71","author":[{"family":"Murphy","given":"Richard"},{"family":"Scott-Clayton","given":"Judith"},{"family":"Wyness","given":"Gill"}],"issued":{"date-parts":[["2019",8,1]]}}}],"schema":"https://github.com/citation-style-language/schema/raw/master/csl-citation.json"} </w:instrText>
      </w:r>
      <w:r w:rsidRPr="002A7D65">
        <w:fldChar w:fldCharType="separate"/>
      </w:r>
      <w:r w:rsidRPr="002A7D65">
        <w:rPr>
          <w:rFonts w:cs="Arial"/>
        </w:rPr>
        <w:t>(Murphy et al., 2019)</w:t>
      </w:r>
      <w:r w:rsidRPr="002A7D65">
        <w:fldChar w:fldCharType="end"/>
      </w:r>
      <w:r w:rsidRPr="002A7D65">
        <w:t>.</w:t>
      </w:r>
    </w:p>
    <w:p w14:paraId="2488C5F3" w14:textId="77777777" w:rsidR="00E771A9" w:rsidRPr="002A7D65" w:rsidRDefault="00E771A9" w:rsidP="00E771A9">
      <w:r w:rsidRPr="002A7D65">
        <w:lastRenderedPageBreak/>
        <w:t xml:space="preserve">Studiju maksu reformas mērķis bija veicināt augstākās izglītības pieejamību, jo, nodrošinot studējošajiem ērti pieejamus un zema riska studiju kredītus, kopumā vairāk studējošo varēs studēt nekā tad, kad vietu skaits bija atkarīgs no valsts budžeta. Tāpat arī šo privāto līdzekļu pieplūdums palielinātu kopējo resursu daudzumu augstākajā izglītībā, tādā veidā veicinot kvalitāti un kapacitāti. Savukārt kreditēšanas sistēmā iebūvētā atmaksa atbilstoši ienākumiem palīdzēs veicināt vienlīdzību, jo faktiski tā pārtaptu par stipendiju pēc absolvēšanas gadījumā, ja absolvents nespētu pelnīt tik daudz, lai varētu atmaksāt kredītu. </w:t>
      </w:r>
    </w:p>
    <w:p w14:paraId="2E1ED44B" w14:textId="77777777" w:rsidR="00E771A9" w:rsidRPr="002A7D65" w:rsidRDefault="00E771A9" w:rsidP="00E771A9">
      <w:r w:rsidRPr="002A7D65">
        <w:t xml:space="preserve">Pēc studiju maksu ieviešanas Anglijā, tās augstākās izglītības pieejamība un finansējums uz studējošo pieauga. Īpatsvars no deviņpadsmit līdz divdesmitgadīgajiem, kuri uzsāka studijas, vairāk nekā dubultojās gados pēc reformas, pieaugot no 16% 1997. gadā līdz 35% 2015. gadā. Tāpat arī reforma ļāva palielināt finansējumu uz vienu studējošo no 6000 GBP 1998. gadā līdz 9250 GBP 2006. gadā. </w:t>
      </w:r>
    </w:p>
    <w:p w14:paraId="6FC312FE" w14:textId="77777777" w:rsidR="00E771A9" w:rsidRPr="002A7D65" w:rsidRDefault="00E771A9" w:rsidP="00E771A9">
      <w:r w:rsidRPr="002A7D65">
        <w:t>Tāpat arī nav mazinājies algas bonuss no augstākās izglītības. Attiecīgi, lai gan Anglijā iedzīvotāju īpatsvars ar augstāko izglītību ir par desmit procentpunktiem</w:t>
      </w:r>
      <w:r w:rsidRPr="002A7D65">
        <w:rPr>
          <w:b/>
          <w:bCs/>
        </w:rPr>
        <w:t xml:space="preserve"> </w:t>
      </w:r>
      <w:r w:rsidRPr="002A7D65">
        <w:t>lielāks nekā Latvijā, tas nav rezultējies ar absolventu atalgojuma samazinājumu. Galvenais iemesls, kādēļ Anglijas sistēma ir bijusi spējīga nodrošināt pieejamību pat pie relatīvi augstām studiju maksām ir tās kreditēšanas sistēma, kas paredz studiju maksas atmaksu pēc absolvēšanas tikai kad tiek sasniegts noteikts ienākumu līmenis, un kas tiek dzēsti pēc noteikta laika perioda.</w:t>
      </w:r>
    </w:p>
    <w:p w14:paraId="29BC7AA2" w14:textId="77777777" w:rsidR="00E771A9" w:rsidRPr="002A7D65" w:rsidRDefault="00E771A9" w:rsidP="00E771A9">
      <w:r w:rsidRPr="002A7D65">
        <w:t xml:space="preserve">Tomēr arī Anglijas sistēma neļauj pilnīgi veltīties studijām un daudzi studējošie vēl aizvien ir spiesti strādāt paralēli studijām </w:t>
      </w:r>
      <w:r w:rsidRPr="002A7D65">
        <w:fldChar w:fldCharType="begin"/>
      </w:r>
      <w:r w:rsidRPr="002A7D65">
        <w:instrText xml:space="preserve"> ADDIN ZOTERO_ITEM CSL_CITATION {"citationID":"DzdqaWwC","properties":{"formattedCitation":"(Murphy et al., 2019)","plainCitation":"(Murphy et al., 2019)","noteIndex":0},"citationItems":[{"id":786,"uris":["http://zotero.org/users/3405954/items/9IRTEJ2X"],"uri":["http://zotero.org/users/3405954/items/9IRTEJ2X"],"itemData":{"id":786,"type":"article-journal","abstract":"Despite increasing financial pressures on higher education systems throughout the world, many governments remain resolutely opposed to the introduction of tuition fees, and some countries and states where tuition fees have been long established are now reconsidering free higher education. This paper examines the consequences of charging tuition fees on university enrolments, equity, and proxies for institutional quality. To do so, we study the English higher education system which has, in just two decades, moved from a free college system to one in which tuition fees are among the highest in the world. Our findings suggest that England's shift has resulted in increased funding per head and rising enrolments, with no apparent widening of the participation gap between advantaged and disadvantaged students. The role of fees is moderated by other key features of higher education finance which may differ across countries: in contrast to other systems with high tuition fees, the English system is distinct in that its income-contingent loan system ensures that no tuition fees are paid upfront, and provides students with comparatively generous assistance for living expenses. Still, the English experience provides an instructive case for other countries considering implementing or abolishing tuition fees.","collection-title":"Higher Education Financing: Student Loans","container-title":"Economics of Education Review","DOI":"10.1016/j.econedurev.2018.11.007","ISSN":"0272-7757","journalAbbreviation":"Economics of Education Review","language":"en","page":"7-22","source":"ScienceDirect","title":"The end of free college in England: Implications for enrolments, equity, and quality","title-short":"The end of free college in England","volume":"71","author":[{"family":"Murphy","given":"Richard"},{"family":"Scott-Clayton","given":"Judith"},{"family":"Wyness","given":"Gill"}],"issued":{"date-parts":[["2019",8,1]]}}}],"schema":"https://github.com/citation-style-language/schema/raw/master/csl-citation.json"} </w:instrText>
      </w:r>
      <w:r w:rsidRPr="002A7D65">
        <w:fldChar w:fldCharType="separate"/>
      </w:r>
      <w:r w:rsidRPr="002A7D65">
        <w:rPr>
          <w:rFonts w:cs="Arial"/>
        </w:rPr>
        <w:t>(Murphy et al., 2019)</w:t>
      </w:r>
      <w:r w:rsidRPr="002A7D65">
        <w:fldChar w:fldCharType="end"/>
      </w:r>
      <w:r w:rsidRPr="002A7D65">
        <w:t xml:space="preserve">. Šajā sistēmā pastāv arī slēptas ilgtermiņa izmaksas nodokļu maksātājam caur studiju kredītu norakstīšanu </w:t>
      </w:r>
      <w:r w:rsidRPr="002A7D65">
        <w:fldChar w:fldCharType="begin"/>
      </w:r>
      <w:r w:rsidRPr="002A7D65">
        <w:instrText xml:space="preserve"> ADDIN ZOTERO_ITEM CSL_CITATION {"citationID":"Ff2kj3K2","properties":{"formattedCitation":"(Crawford et al., 2014)","plainCitation":"(Crawford et al., 2014)","noteIndex":0},"citationItems":[{"id":818,"uris":["http://zotero.org/users/3405954/items/LL92Q9UY"],"uri":["http://zotero.org/users/3405954/items/LL92Q9UY"],"itemData":{"id":818,"type":"report","language":"en","note":"DOI: 10.1920/re.ifs.2014.0094","publisher":"Institute for Fiscal Studies","source":"DOI.org (Crossref)","title":"Estimating the public cost of student loans","URL":"http://www.ifs.org.uk/comms/r94.pdf","author":[{"family":"Crawford","given":"Claire"},{"family":"Crawford","given":"Rowena"},{"family":"Jin","given":"Wenchao (Michelle)"}],"accessed":{"date-parts":[["2020",12,15]]},"issued":{"date-parts":[["2014",4,24]]}}}],"schema":"https://github.com/citation-style-language/schema/raw/master/csl-citation.json"} </w:instrText>
      </w:r>
      <w:r w:rsidRPr="002A7D65">
        <w:fldChar w:fldCharType="separate"/>
      </w:r>
      <w:r w:rsidRPr="002A7D65">
        <w:rPr>
          <w:rFonts w:cs="Arial"/>
        </w:rPr>
        <w:t>(Crawford et al., 2014)</w:t>
      </w:r>
      <w:r w:rsidRPr="002A7D65">
        <w:fldChar w:fldCharType="end"/>
      </w:r>
      <w:r w:rsidRPr="002A7D65">
        <w:t xml:space="preserve">. </w:t>
      </w:r>
    </w:p>
    <w:p w14:paraId="3EB9631B" w14:textId="77777777" w:rsidR="00E771A9" w:rsidRPr="002A7D65" w:rsidRDefault="00E771A9" w:rsidP="00E771A9">
      <w:r w:rsidRPr="002A7D65">
        <w:t xml:space="preserve">Arī Vācijā ir vērojama problēma, ka valsts finansējums nav spējīgs mainīties atbilstoši studējošo skaitam </w:t>
      </w:r>
      <w:r w:rsidRPr="002A7D65">
        <w:fldChar w:fldCharType="begin"/>
      </w:r>
      <w:r w:rsidRPr="002A7D65">
        <w:instrText xml:space="preserve"> ADDIN ZOTERO_ITEM CSL_CITATION {"citationID":"ucqOIr6m","properties":{"formattedCitation":"(Pl\\uc0\\u252{}mper &amp; Schneider, 2007)","plainCitation":"(Plümper &amp; Schneider, 2007)","noteIndex":0},"citationItems":[{"id":783,"uris":["http://zotero.org/users/3405954/items/CMXHKAAE"],"uri":["http://zotero.org/users/3405954/items/CMXHKAAE"],"itemData":{"id":783,"type":"article-journal","abstract":"German educational spending per student has dramatically declined since the early 1970s. In this paper, we develop a theory of fiscal opportunism and argue that state governments exploit higher educational policies as an instrument of active labour market policy. By ‘opening’ universities to the masses and the extensive propagation of broader university enrolment during times of economic distress, state governments have an instrument at their disposal for lowering unemployment without generating negative budgetary implications. Thereby, the government pockets voter support not only by diminishing unemployment, but also by providing public goods particularly to the socially disadvantaged. At the same time, the state government risks a deterioration of educational quality owing to decreasing educational spending per student. We test our theoretical claims for the German states in a period ranging from 1975 to 2000 by means of panel fixed-effects models. The empirical results robustly support the hypothesis that rising unemployment ratios lead to increased university enrolment, but also significantly reduce the spending per student.","container-title":"Journal of European Public Policy","DOI":"10.1080/13501760701314458","ISSN":"1350-1763","issue":"4","note":"publisher: Routledge\n_eprint: https://doi.org/10.1080/13501760701314458","page":"631-653","source":"Taylor and Francis+NEJM","title":"Too much to die, too little to live: unemployment, higher education policies and university budgets in Germany","title-short":"Too much to die, too little to live","volume":"14","author":[{"family":"Plümper","given":"Thomas"},{"family":"Schneider","given":"Christina J."}],"issued":{"date-parts":[["2007",6,1]]}}}],"schema":"https://github.com/citation-style-language/schema/raw/master/csl-citation.json"} </w:instrText>
      </w:r>
      <w:r w:rsidRPr="002A7D65">
        <w:fldChar w:fldCharType="separate"/>
      </w:r>
      <w:r w:rsidRPr="002A7D65">
        <w:rPr>
          <w:rFonts w:cs="Arial"/>
        </w:rPr>
        <w:t>(Plümper &amp; Schneider, 2007)</w:t>
      </w:r>
      <w:r w:rsidRPr="002A7D65">
        <w:fldChar w:fldCharType="end"/>
      </w:r>
      <w:r w:rsidRPr="002A7D65">
        <w:t>, kā rezultātā ekonomisko krīžu laikā – kad daudzi bezdarbnieki dodas uz augstāko izglītību kompetenču celšanai – bezmaksas augstākā izglītība veicina šo kompetenču attīstību, bet uz kvalitātes rēķina, jo ekonomisko krīžu laikā valsts finansējums ir īpaši ierobežots.</w:t>
      </w:r>
    </w:p>
    <w:p w14:paraId="691BDCDF" w14:textId="77777777" w:rsidR="00E771A9" w:rsidRPr="002A7D65" w:rsidRDefault="00E771A9" w:rsidP="00E771A9">
      <w:r w:rsidRPr="002A7D65">
        <w:t xml:space="preserve">Skandināvijā, neskatoties uz bezmaksas augstāko izglītību, vēl aizvien pastāv nevienlīdzība tieši studiju jomu ziņā. Lai gan Skandināvijā ir vienlīdzība tādā ziņā, ka sociālajām grupām ir vienlīdzīgas iespējas uzsākt studijas, Dānijā un Zviedrijā pastāv nevienlīdzība iekļūšanā prestižajās studiju jomās (medicīna, veterinārija, jurisprudence, mākslas, zobārstniecība) un lielāka vienlīdzība profesionālās programmās  </w:t>
      </w:r>
      <w:r w:rsidRPr="002A7D65">
        <w:fldChar w:fldCharType="begin"/>
      </w:r>
      <w:r w:rsidRPr="002A7D65">
        <w:instrText xml:space="preserve"> ADDIN ZOTERO_ITEM CSL_CITATION {"citationID":"an7bXpJB","properties":{"formattedCitation":"(J. P. Thomsen, 2015; J.-P. Thomsen et al., 2017)","plainCitation":"(J. P. Thomsen, 2015; J.-P. Thomsen et al., 2017)","noteIndex":0},"citationItems":[{"id":798,"uris":["http://zotero.org/users/3405954/items/A3YU5ZFI"],"uri":["http://zotero.org/users/3405954/items/A3YU5ZFI"],"itemData":{"id":798,"type":"article-journal","abstract":"This article examines whether privileged social groups have managed to monopolize access to sought-after higher education (HE) programmes in a Scandinavian, universalist welfare state (Denmark) during a period of massive educational expansion (1984–2010). I apply an effectively maintained inequality (EMI) framework in which I (i) explicitly control for periods of educational expansion, (ii) disaggregate qualitatively different HE programmes, and (iii) profit from a novel way of constructing social origin, using relative measures of parental education and income. I find that probabilities of attending HE increases for almost all groups and types of programmes, and that the increase primarily occurs in periods of cohort-adjusted HE expansion. Measured by participation ratio (i.e. relative risk), neither sons nor daughters from culturally privileged backgrounds have maintained their advantage from 1984 to 2010 in access to HE in general. However, breaking down HE into four types of university programmes supports the EMI thesis as it is operationalized in this article. So, while inequality in access to HE has been reduced overall through the expansion of the HE system, this has only been achieved by channelling students of lower-educated parents to less-prestigious programmes.","container-title":"European Sociological Review","DOI":"10.1093/esr/jcv067","ISSN":"0266-7215","issue":"6","journalAbbreviation":"European Sociological Review","page":"683-696","source":"Silverchair","title":"Maintaining Inequality Effectively? Access to Higher Education Programmes in a Universalist Welfare State in Periods of Educational Expansion 1984–2010","title-short":"Maintaining Inequality Effectively?","volume":"31","author":[{"family":"Thomsen","given":"Jens Peter"}],"issued":{"date-parts":[["2015",12,1]]}}},{"id":795,"uris":["http://zotero.org/users/3405954/items/X6HWDESL"],"uri":["http://zotero.org/users/3405954/items/X6HWDESL"],"itemData":{"id":795,"type":"article-journal","abstract":"We examine changes in higher education (HE) participation in the four major Nordic countries—Denmark, Norway, Finland, and Sweden—from 1985 to 2010, a period characterized by widespread expansion of HE. We set up a methodological framework suitable for making country comparisons, and we profit from having unique administrative data in all four countries. We ask (i) whether HE expansion in the Nordic countries has been followed by a similar closing of the social gap in HE participation, and (ii) whether privileged groups have been able to maintain their advantage in HE participation. The results did not reveal similar trends in decrease in HE inequality despite expansion in all four countries. While Finland and Norway display the most substantial drop in overall HE inequality, the decrease in Denmark is more modest; Sweden shows no signs of decreasing inequality as HE expands. In short, expansion does not seem to be a universal remedy for narrowing the social gap in HE participation in the Nordic countries. Examining upper tertiary education by field of study, we find great disparities in selectivity, but we also find that the vast majority of fields have moved towards more equalization. However, prestigious professional university programmes such as law and medicine continue to favour more socially privileged children, albeit the social gap is narrowed substantially in Finland and Norway. These two countries also display the most substantial decrease in overall HE inequality.","container-title":"European Sociological Review","DOI":"10.1093/esr/jcw051","ISSN":"0266-7215","issue":"1","journalAbbreviation":"European Sociological Review","page":"98-111","source":"Silverchair","title":"Higher Education Participation in the Nordic Countries 1985–2010—A Comparative Perspective","volume":"33","author":[{"family":"Thomsen","given":"Jens-Peter"},{"family":"Bertilsson","given":"Emil"},{"family":"Dalberg","given":"Tobias"},{"family":"Hedman","given":"Juha"},{"family":"Helland","given":"Håvard"}],"issued":{"date-parts":[["2017",2,1]]}}}],"schema":"https://github.com/citation-style-language/schema/raw/master/csl-citation.json"} </w:instrText>
      </w:r>
      <w:r w:rsidRPr="002A7D65">
        <w:fldChar w:fldCharType="separate"/>
      </w:r>
      <w:r w:rsidRPr="002A7D65">
        <w:rPr>
          <w:rFonts w:cs="Arial"/>
        </w:rPr>
        <w:t>(J. P. Thomsen, 2015; J.-P. Thomsen et al., 2017)</w:t>
      </w:r>
      <w:r w:rsidRPr="002A7D65">
        <w:fldChar w:fldCharType="end"/>
      </w:r>
      <w:r w:rsidRPr="002A7D65">
        <w:t>.</w:t>
      </w:r>
    </w:p>
    <w:p w14:paraId="6CF53D96" w14:textId="77777777" w:rsidR="00E771A9" w:rsidRPr="002A7D65" w:rsidRDefault="00E771A9" w:rsidP="00E771A9">
      <w:r w:rsidRPr="002A7D65">
        <w:t xml:space="preserve">Savukārt salīdzinot Dāniju un ASV pēc to nevienlīdzības, pētnieki secina, ka, lai gan Dānija ir vienlīdzīgāka par ASV, šī vienlīdzība izriet galvenokārt no nodokļu sistēmām, bet tieši augstākā izglītība Dānijā ir nevienlīdzīgāka kā ASV </w:t>
      </w:r>
      <w:r w:rsidRPr="002A7D65">
        <w:fldChar w:fldCharType="begin"/>
      </w:r>
      <w:r w:rsidRPr="002A7D65">
        <w:instrText xml:space="preserve"> ADDIN ZOTERO_ITEM CSL_CITATION {"citationID":"QqOsl9pa","properties":{"formattedCitation":"(Landers\\uc0\\u248{} &amp; Heckman, 2016)","plainCitation":"(Landersø &amp; Heckman, 2016)","noteIndex":0},"citationItems":[{"id":791,"uris":["http://zotero.org/users/3405954/items/2SXFBWEP"],"uri":["http://zotero.org/users/3405954/items/2SXFBWEP"],"itemData":{"id":791,"type":"article-journal","container-title":"The Scandinavian Journal of Economics","DOI":"https://doi.org/10.1111/sjoe.12219","issue":"1","language":"en","page":"74","source":"Zotero","title":"The Scandinavian Fantasy: The Sources of Intergenerational Mobility in Denmark and the U.S.","volume":"119","author":[{"family":"Landersø","given":"Rasmus"},{"family":"Heckman","given":"James J"}],"issued":{"date-parts":[["2016"]]}}}],"schema":"https://github.com/citation-style-language/schema/raw/master/csl-citation.json"} </w:instrText>
      </w:r>
      <w:r w:rsidRPr="002A7D65">
        <w:fldChar w:fldCharType="separate"/>
      </w:r>
      <w:r w:rsidRPr="002A7D65">
        <w:rPr>
          <w:rFonts w:cs="Arial"/>
        </w:rPr>
        <w:t>(Landersø &amp; Heckman, 2016)</w:t>
      </w:r>
      <w:r w:rsidRPr="002A7D65">
        <w:fldChar w:fldCharType="end"/>
      </w:r>
      <w:r w:rsidRPr="002A7D65">
        <w:t xml:space="preserve">. Autori izvirza hipotēzi, ka pārmērīgi progresīva nodokļu sistēma mazina motivāciju iegūt augstāko izglītību, jo papildu ienākumi no tās ir zemāki Dānijā nekā ASV. </w:t>
      </w:r>
    </w:p>
    <w:p w14:paraId="174896E2" w14:textId="77777777" w:rsidR="00E771A9" w:rsidRPr="002A7D65" w:rsidRDefault="00E771A9" w:rsidP="00E771A9">
      <w:r w:rsidRPr="002A7D65">
        <w:t xml:space="preserve">Rezumējot vairāku valstu pieredzi, bezmaksas augstākā izglītība vislabāk darbojas valstīs, kurās ir zema nevienlīdzība un pietiekami daudz resursu, lai varētu jēgpilni uzturēt bezmaksas augstāko izglītību. Daudzās valstīs, kas ieviesa bezmaksas augstāko izglītību, bet kurās ir būtiska nevienlīdzība un nepietiekams valsts finansējums bezmaksas augstākās izglītības uzturēšanai, ir nonākušas līdz sistēmai, kurā par brīvu studē tie, </w:t>
      </w:r>
      <w:r w:rsidRPr="002A7D65">
        <w:lastRenderedPageBreak/>
        <w:t xml:space="preserve">kuriem ir vairāk sociālā un ekonomiskā kapitāla, un kuri tāpat būtu studējuši, kā arī pie aizvien mazāka ieguldījuma augstākajā izglītībā, tādā veidā mazinot kvalitāti </w:t>
      </w:r>
      <w:r w:rsidRPr="002A7D65">
        <w:fldChar w:fldCharType="begin"/>
      </w:r>
      <w:r w:rsidRPr="002A7D65">
        <w:instrText xml:space="preserve"> ADDIN ZOTERO_ITEM CSL_CITATION {"citationID":"olNiN3LP","properties":{"formattedCitation":"(Marmolejo, 2015)","plainCitation":"(Marmolejo, 2015)","noteIndex":0},"citationItems":[{"id":809,"uris":["http://zotero.org/users/3405954/items/DA6U59RC"],"uri":["http://zotero.org/users/3405954/items/DA6U59RC"],"itemData":{"id":809,"type":"post-weblog","abstract":"The title of the recent blog written by my colleague Harry Patrinos couldn’t be more direct and clear: “Make the Rich Pay for University”! This is an idea that makes sense. However, is this idea as easy to implement as it sounds? Are there any disadvantages or limitations? What is ...","container-title":"World Bank Blogs","language":"en","title":"The Great Challenge in Tertiary Education: Is it really just about the fees?","title-short":"The Great Challenge in Tertiary Education","URL":"https://blogs.worldbank.org/education/great-challenge-tertiary-education-it-really-just-about-fees","author":[{"family":"Marmolejo","given":"Francisco"}],"accessed":{"date-parts":[["2020",12,14]]},"issued":{"date-parts":[["2015",2,6]]}}}],"schema":"https://github.com/citation-style-language/schema/raw/master/csl-citation.json"} </w:instrText>
      </w:r>
      <w:r w:rsidRPr="002A7D65">
        <w:fldChar w:fldCharType="separate"/>
      </w:r>
      <w:r w:rsidRPr="002A7D65">
        <w:rPr>
          <w:rFonts w:cs="Arial"/>
        </w:rPr>
        <w:t>(Marmolejo, 2015)</w:t>
      </w:r>
      <w:r w:rsidRPr="002A7D65">
        <w:fldChar w:fldCharType="end"/>
      </w:r>
      <w:r w:rsidRPr="002A7D65">
        <w:t xml:space="preserve">. </w:t>
      </w:r>
    </w:p>
    <w:p w14:paraId="56D12B73" w14:textId="77777777" w:rsidR="00E771A9" w:rsidRPr="002A7D65" w:rsidRDefault="00E771A9" w:rsidP="00E771A9">
      <w:r w:rsidRPr="002A7D65">
        <w:t xml:space="preserve">Šī iemesla dēļ, ieviešot bezmaksas augstāko izglītību, ir nepieciešama ārkārtīga uzmanība. Bezmaksas augstākās izglītības risks ir situācija līdzīgi kā Anglijā un Vācijā, kur valsts finansējums nav bijis spējīgs pieaugt līdz ar studējošo skaitu. Tas noveda pie kvalitātes krituma, jo kvalitāte ir atkarīga no pieejamā resursu apjoma, un, ja resursu apjoms uz studējošo samazinās, tad līdz ar to arī kvalitāte krīt. Tāpat arī ir būtiski saprast to, ka, finansējot augstāko izglītību, finansējums ir jāiegulda tur, kur no tā ir vislielākā pievienotā vērtība. Attiecīgi, tas visefektīvāk ir izmantojams lai nodrošinātu to, ka augstāko izglītību iegūst tie, kuri citādi neuzsāktu vai nepabeigtu studijas. Visbeidzot, ceļā uz bezmaksas augstāko izglītību valstij ir jāizmanto arī privātais finansējums kā avots, caur ko var finansēt augstāko izglītību. Valsts mērķim būtu jābūt atvieglot studējošajiem iespēju maksāt par savām studijām caur studiju kreditēšanu, kā arī apzināties to, ka studiju maksas var veicināt vienlīdzību, ja tās ir jāmaksā tiem, kuri to var atļauties. </w:t>
      </w:r>
    </w:p>
    <w:p w14:paraId="317CC254" w14:textId="77777777" w:rsidR="00E771A9" w:rsidRPr="002A7D65" w:rsidRDefault="00E771A9" w:rsidP="00E771A9">
      <w:pPr>
        <w:ind w:firstLine="0"/>
      </w:pPr>
    </w:p>
    <w:p w14:paraId="1A37EB68" w14:textId="77777777" w:rsidR="00E771A9" w:rsidRPr="002A7D65" w:rsidRDefault="00E771A9" w:rsidP="00E771A9">
      <w:pPr>
        <w:spacing w:after="160"/>
        <w:ind w:firstLine="0"/>
        <w:jc w:val="left"/>
        <w:rPr>
          <w:rFonts w:asciiTheme="majorHAnsi" w:eastAsiaTheme="majorEastAsia" w:hAnsiTheme="majorHAnsi" w:cstheme="majorBidi"/>
          <w:b/>
          <w:color w:val="7030A0"/>
        </w:rPr>
      </w:pPr>
      <w:r w:rsidRPr="002A7D65">
        <w:br w:type="page"/>
      </w:r>
    </w:p>
    <w:p w14:paraId="6E4EB4EB" w14:textId="77777777" w:rsidR="00E771A9" w:rsidRPr="002A7D65" w:rsidRDefault="00E771A9" w:rsidP="003F615E">
      <w:pPr>
        <w:pStyle w:val="Heading3"/>
        <w:numPr>
          <w:ilvl w:val="1"/>
          <w:numId w:val="24"/>
        </w:numPr>
      </w:pPr>
      <w:bookmarkStart w:id="53" w:name="_Toc159325077"/>
      <w:bookmarkStart w:id="54" w:name="_Toc159577425"/>
      <w:bookmarkStart w:id="55" w:name="_Toc160457597"/>
      <w:bookmarkStart w:id="56" w:name="_Toc167452342"/>
      <w:r w:rsidRPr="002A7D65">
        <w:lastRenderedPageBreak/>
        <w:t>Izcilības iniciatīvas pasaulē</w:t>
      </w:r>
      <w:bookmarkEnd w:id="53"/>
      <w:bookmarkEnd w:id="54"/>
      <w:bookmarkEnd w:id="55"/>
      <w:bookmarkEnd w:id="56"/>
    </w:p>
    <w:p w14:paraId="5C7F87CA" w14:textId="77777777" w:rsidR="00E771A9" w:rsidRPr="002A7D65" w:rsidRDefault="00E771A9" w:rsidP="00E771A9">
      <w:r w:rsidRPr="002A7D65">
        <w:t>Viens no iestāžu tipiem, kas ir guvis īpašu interesi dažādās valstīs ir t.s. pasaules līmeņa universitātes. Pasaules līmeņa universitātes ir iestādes, kuras konkurē un kuru izcilība ir atzīta starptautiskajā līmenī</w:t>
      </w:r>
      <w:r w:rsidRPr="002A7D65">
        <w:rPr>
          <w:rStyle w:val="FootnoteReference"/>
        </w:rPr>
        <w:footnoteReference w:id="59"/>
      </w:r>
      <w:r w:rsidRPr="002A7D65">
        <w:t xml:space="preserve">. Kā viens no populārākajiem veidiem, kā tiek identificētas pasaules līmeņa universitātes, ir reitingi. Balstoties pasaules pieredzē, pasaules līmeņa universitāšu izveides priekšnoteikumi ir trīs – attīstībai labvēlīga sektora un augstskolas pārvaldības efektivitāte, resursu pārpilnība, un talantu koncentrācija. </w:t>
      </w:r>
    </w:p>
    <w:p w14:paraId="23894A4B" w14:textId="77777777" w:rsidR="00E771A9" w:rsidRPr="002A7D65" w:rsidRDefault="00E771A9" w:rsidP="00E771A9">
      <w:r w:rsidRPr="002A7D65">
        <w:t>Ar pārvaldības reformu ir sperti pirmie soļi attīstībai labvēlīgas pārvaldības izveidē, bet ir nepieciešams arī veicināt resursu pārpilnību un talantu koncentrāciju. Šo mērķu sasniegšanā būtisku lomu spēlē finansēšanas sistēma un iniciatīvas, ko caur to var veidot.</w:t>
      </w:r>
    </w:p>
    <w:p w14:paraId="64F3E707" w14:textId="77777777" w:rsidR="00E771A9" w:rsidRPr="002A7D65" w:rsidRDefault="00E771A9" w:rsidP="00E771A9">
      <w:pPr>
        <w:jc w:val="right"/>
      </w:pPr>
      <w:r w:rsidRPr="002A7D65">
        <w:t>Pasaules līmeņa universitātes pazīmes</w:t>
      </w:r>
      <w:r w:rsidRPr="002A7D65">
        <w:rPr>
          <w:rStyle w:val="FootnoteReference"/>
        </w:rPr>
        <w:footnoteReference w:id="60"/>
      </w:r>
    </w:p>
    <w:p w14:paraId="7BF2D1D4" w14:textId="77777777" w:rsidR="00E771A9" w:rsidRPr="002A7D65" w:rsidRDefault="00E771A9" w:rsidP="00E771A9">
      <w:pPr>
        <w:jc w:val="center"/>
      </w:pPr>
      <w:r w:rsidRPr="002A7D65">
        <w:rPr>
          <w:noProof/>
        </w:rPr>
        <w:drawing>
          <wp:inline distT="0" distB="0" distL="0" distR="0" wp14:anchorId="6A027792" wp14:editId="7BB21C9D">
            <wp:extent cx="3235569" cy="2802968"/>
            <wp:effectExtent l="0" t="0" r="3175" b="0"/>
            <wp:docPr id="1401705266" name="Picture 1401705266" descr="Diagram, venn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30">
                      <a:extLst>
                        <a:ext uri="{28A0092B-C50C-407E-A947-70E740481C1C}">
                          <a14:useLocalDpi xmlns:a14="http://schemas.microsoft.com/office/drawing/2010/main" val="0"/>
                        </a:ext>
                      </a:extLst>
                    </a:blip>
                    <a:stretch>
                      <a:fillRect/>
                    </a:stretch>
                  </pic:blipFill>
                  <pic:spPr>
                    <a:xfrm>
                      <a:off x="0" y="0"/>
                      <a:ext cx="3235569" cy="2802968"/>
                    </a:xfrm>
                    <a:prstGeom prst="rect">
                      <a:avLst/>
                    </a:prstGeom>
                  </pic:spPr>
                </pic:pic>
              </a:graphicData>
            </a:graphic>
          </wp:inline>
        </w:drawing>
      </w:r>
    </w:p>
    <w:p w14:paraId="2D68AD80" w14:textId="77777777" w:rsidR="00E771A9" w:rsidRPr="002A7D65" w:rsidRDefault="00E771A9" w:rsidP="00E771A9">
      <w:r w:rsidRPr="002A7D65">
        <w:t>Aizvien vairākas valstis veido iniciatīvas, lai izveidotu pasaules līmeņa universitātes</w:t>
      </w:r>
      <w:r w:rsidRPr="002A7D65">
        <w:rPr>
          <w:rStyle w:val="FootnoteReference"/>
        </w:rPr>
        <w:footnoteReference w:id="61"/>
      </w:r>
      <w:r w:rsidRPr="002A7D65">
        <w:t xml:space="preserve">. Pašlaik pasaules līmeņa universitāšu izveidē ir trīs pieejas – pilnīgi jaunu iestāžu izveide, esošo iestāžu attīstība, vai arī iestāžu apvienošana -  kas visas var tikt izmantotas vienas sistēmas ietvaros. </w:t>
      </w:r>
      <w:r w:rsidRPr="002A7D65">
        <w:lastRenderedPageBreak/>
        <w:t>Balstoties citu valstu pieredzē, pilnīgi jaunas pasaules līmeņa universitātes izveide izmaksā vidēji 700 miljonu USD kopā pirmajos gados</w:t>
      </w:r>
      <w:r w:rsidRPr="002A7D65">
        <w:rPr>
          <w:rStyle w:val="FootnoteReference"/>
        </w:rPr>
        <w:footnoteReference w:id="62"/>
      </w:r>
      <w:r w:rsidRPr="002A7D65">
        <w:t>. Kā nākamais dārgākais risinājums ir esošo iestāžu attīstība, bet kā vismazāk dārgais instruments ir iestāžu apvienošana. Zemāk esošā tabula apraksta katras pieejas stiprās un vājās puses</w:t>
      </w:r>
    </w:p>
    <w:p w14:paraId="23D4C82A" w14:textId="77777777" w:rsidR="00E771A9" w:rsidRPr="002A7D65" w:rsidRDefault="00E771A9" w:rsidP="00E771A9"/>
    <w:p w14:paraId="350FC3BB" w14:textId="77777777" w:rsidR="00E771A9" w:rsidRPr="002A7D65" w:rsidRDefault="00E771A9" w:rsidP="00E771A9">
      <w:pPr>
        <w:jc w:val="right"/>
      </w:pPr>
      <w:r w:rsidRPr="002A7D65">
        <w:t>Dažādu pasaules līmeņa universitātes izveides pieeju izmaksas un ieguvumi</w:t>
      </w:r>
      <w:r w:rsidRPr="002A7D65">
        <w:rPr>
          <w:rStyle w:val="FootnoteReference"/>
        </w:rPr>
        <w:footnoteReference w:id="63"/>
      </w:r>
    </w:p>
    <w:p w14:paraId="38D4B9EC" w14:textId="77777777" w:rsidR="00E771A9" w:rsidRPr="002A7D65" w:rsidRDefault="00E771A9" w:rsidP="00E771A9">
      <w:pPr>
        <w:jc w:val="center"/>
      </w:pPr>
      <w:r w:rsidRPr="002A7D65">
        <w:rPr>
          <w:noProof/>
        </w:rPr>
        <w:drawing>
          <wp:inline distT="0" distB="0" distL="0" distR="0" wp14:anchorId="7B00A78C" wp14:editId="63289114">
            <wp:extent cx="3563815" cy="3972413"/>
            <wp:effectExtent l="0" t="0" r="0" b="9525"/>
            <wp:docPr id="861134810" name="Picture 86113481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31">
                      <a:extLst>
                        <a:ext uri="{28A0092B-C50C-407E-A947-70E740481C1C}">
                          <a14:useLocalDpi xmlns:a14="http://schemas.microsoft.com/office/drawing/2010/main" val="0"/>
                        </a:ext>
                      </a:extLst>
                    </a:blip>
                    <a:stretch>
                      <a:fillRect/>
                    </a:stretch>
                  </pic:blipFill>
                  <pic:spPr>
                    <a:xfrm>
                      <a:off x="0" y="0"/>
                      <a:ext cx="3563815" cy="3972413"/>
                    </a:xfrm>
                    <a:prstGeom prst="rect">
                      <a:avLst/>
                    </a:prstGeom>
                  </pic:spPr>
                </pic:pic>
              </a:graphicData>
            </a:graphic>
          </wp:inline>
        </w:drawing>
      </w:r>
    </w:p>
    <w:p w14:paraId="53ED562B" w14:textId="77777777" w:rsidR="00E771A9" w:rsidRPr="002A7D65" w:rsidRDefault="00E771A9" w:rsidP="00E771A9"/>
    <w:p w14:paraId="530F9BBE" w14:textId="126FC20E" w:rsidR="00E771A9" w:rsidRPr="002A7D65" w:rsidRDefault="00E771A9" w:rsidP="00E771A9">
      <w:r w:rsidRPr="002A7D65">
        <w:t xml:space="preserve">Savukārt iestāžu attīstības programmas mēdz būt ar ļoti dažādām summām, sākot no USD 64 miljoniem gadā Korejā, beidzot ar </w:t>
      </w:r>
      <w:r w:rsidR="001673CC" w:rsidRPr="001673CC">
        <w:rPr>
          <w:i/>
          <w:iCs/>
        </w:rPr>
        <w:t xml:space="preserve">euro </w:t>
      </w:r>
      <w:r w:rsidRPr="002A7D65">
        <w:t>5 miljardu fondu, ko izveidoja Francija, lai veidotu reģionālus izcilības centrus.</w:t>
      </w:r>
    </w:p>
    <w:p w14:paraId="18D6A5FC" w14:textId="77777777" w:rsidR="00E771A9" w:rsidRPr="002A7D65" w:rsidRDefault="00E771A9" w:rsidP="00E771A9">
      <w:r w:rsidRPr="002A7D65">
        <w:t xml:space="preserve">Iestāžu apvienošana ir salīdzinoši lētākais variants, jo pasaules pieredzē tas izmaksā tikai vairākus desmitus miljonus. Tomēr apvienošana ir arī riskantākā no iniciatīvām, jo tās ietvaros var tikt izjaukta iestādes pārvaldība un mazināta talantu koncentrācija, kā rezultātā iestāžu apvienošana varētu būt vērtējama ar mīnusa zīmi. Šī iemesla dēļ, pasaules līmeņa iestāžu izveide caur apvienošanu var notikt tikai tad, ja tā notiek starp iestādēm ar līdzīgu zinātnes koncentrāciju, misiju, kā arī, ja iesaistītās iestādes tam piekrīt (kā, piemēram, </w:t>
      </w:r>
      <w:proofErr w:type="spellStart"/>
      <w:r w:rsidRPr="002A7D65">
        <w:t>Aalto</w:t>
      </w:r>
      <w:proofErr w:type="spellEnd"/>
      <w:r w:rsidRPr="002A7D65">
        <w:t xml:space="preserve"> Universitātes gadījumā). </w:t>
      </w:r>
    </w:p>
    <w:p w14:paraId="7DAA85D7" w14:textId="77777777" w:rsidR="00E771A9" w:rsidRPr="002A7D65" w:rsidRDefault="00E771A9" w:rsidP="00E771A9">
      <w:r w:rsidRPr="002A7D65">
        <w:t>Viena no būtiskākajām sastāvdaļām, kas ir nepieciešams, lai veicinātu izcilību, ir stabils finansējums. Līdz šim pētījumi ir parādījuši, ka stabils finansējums sniedz iespēju izcilības iestādēm būt elastīgākām savā darbībā un pielāgot savu pamata darbību, lai tā tiktu orientēta uz izcilību</w:t>
      </w:r>
      <w:r w:rsidRPr="002A7D65">
        <w:rPr>
          <w:rStyle w:val="FootnoteReference"/>
        </w:rPr>
        <w:footnoteReference w:id="64"/>
      </w:r>
      <w:r w:rsidRPr="002A7D65">
        <w:t>.</w:t>
      </w:r>
    </w:p>
    <w:p w14:paraId="11DD8C62" w14:textId="77777777" w:rsidR="00E771A9" w:rsidRPr="002A7D65" w:rsidRDefault="00E771A9" w:rsidP="00E771A9">
      <w:r w:rsidRPr="002A7D65">
        <w:t>Tabula zemāk apraksta daļu no izcilības iniciatīvām, ko ir īstenojušas citas Eiropas valstis.</w:t>
      </w:r>
    </w:p>
    <w:p w14:paraId="7B5F4811" w14:textId="77777777" w:rsidR="00E771A9" w:rsidRPr="002A7D65" w:rsidRDefault="00E771A9" w:rsidP="00E771A9">
      <w:r w:rsidRPr="002A7D65">
        <w:t xml:space="preserve">Izvērtējot divu valstu – Somijas un Vācijas – izcilības iniciatīvas, ir secināms, ka izcilības iniciatīvas var tikt īstenotas dažādās formās un tām var faktiski būt dažādi mērķi. Somijas gadījumā izcilības iniciatīva tika paredzēta, lai izveidotu vienu pasaules līmeņa universitāti. Savukārt Vācijas piemērā tā tika paredzēta ne tikai pasaules līmeņa universitāšu izveidei, bet arī iestāžu stratēģiskās specializācijas veicināšanai. </w:t>
      </w:r>
    </w:p>
    <w:p w14:paraId="115CA46C" w14:textId="77777777" w:rsidR="00E771A9" w:rsidRPr="002A7D65" w:rsidRDefault="00E771A9" w:rsidP="00E771A9">
      <w:r w:rsidRPr="002A7D65">
        <w:t xml:space="preserve">Abas iniciatīvas ir bijušas veiksmīgas, jo tās bija visaptverošas un izveidoja politisku un normatīvu vidi, kas veicināja izcilību. </w:t>
      </w:r>
      <w:proofErr w:type="spellStart"/>
      <w:r w:rsidRPr="002A7D65">
        <w:t>gfKā</w:t>
      </w:r>
      <w:proofErr w:type="spellEnd"/>
      <w:r w:rsidRPr="002A7D65">
        <w:t xml:space="preserve"> Latvijas situācijai visatbilstošākais ir Vācijas piemērs, kur izcilības iniciatīva tika veidota ne tikai lai radītu pasaules līmeņa universitātes, bet arī lai vienlaicīgi tās varētu stratēģiski specializēties caur izcilības </w:t>
      </w:r>
      <w:proofErr w:type="spellStart"/>
      <w:r w:rsidRPr="002A7D65">
        <w:t>klāsteru</w:t>
      </w:r>
      <w:proofErr w:type="spellEnd"/>
      <w:r w:rsidRPr="002A7D65">
        <w:t xml:space="preserve"> izveidi. </w:t>
      </w:r>
    </w:p>
    <w:p w14:paraId="2A1C7A9C" w14:textId="77777777" w:rsidR="00E771A9" w:rsidRPr="002A7D65" w:rsidRDefault="00E771A9" w:rsidP="00E771A9"/>
    <w:p w14:paraId="21986F11" w14:textId="77777777" w:rsidR="00E771A9" w:rsidRPr="002A7D65" w:rsidRDefault="00E771A9" w:rsidP="00E771A9">
      <w:pPr>
        <w:jc w:val="right"/>
      </w:pPr>
      <w:r w:rsidRPr="002A7D65">
        <w:t xml:space="preserve">Izcilības iniciatīvu izmaksas pasaulē </w:t>
      </w:r>
      <w:r w:rsidRPr="002A7D65">
        <w:rPr>
          <w:rStyle w:val="FootnoteReference"/>
        </w:rPr>
        <w:footnoteReference w:id="65"/>
      </w:r>
    </w:p>
    <w:tbl>
      <w:tblPr>
        <w:tblW w:w="9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1"/>
        <w:gridCol w:w="1574"/>
        <w:gridCol w:w="972"/>
        <w:gridCol w:w="5739"/>
      </w:tblGrid>
      <w:tr w:rsidR="00E771A9" w:rsidRPr="002A7D65" w14:paraId="1DD667ED" w14:textId="77777777" w:rsidTr="000C2595">
        <w:trPr>
          <w:trHeight w:val="300"/>
          <w:tblHeader/>
        </w:trPr>
        <w:tc>
          <w:tcPr>
            <w:tcW w:w="1601" w:type="dxa"/>
            <w:shd w:val="clear" w:color="auto" w:fill="auto"/>
            <w:noWrap/>
            <w:vAlign w:val="bottom"/>
            <w:hideMark/>
          </w:tcPr>
          <w:p w14:paraId="6FE9A216" w14:textId="77777777" w:rsidR="00E771A9" w:rsidRPr="002A7D65" w:rsidRDefault="00E771A9" w:rsidP="000C2595">
            <w:pPr>
              <w:ind w:firstLine="0"/>
            </w:pPr>
            <w:r w:rsidRPr="002A7D65">
              <w:t>Valsts/reģions</w:t>
            </w:r>
          </w:p>
        </w:tc>
        <w:tc>
          <w:tcPr>
            <w:tcW w:w="1574" w:type="dxa"/>
            <w:shd w:val="clear" w:color="auto" w:fill="auto"/>
            <w:noWrap/>
            <w:vAlign w:val="bottom"/>
            <w:hideMark/>
          </w:tcPr>
          <w:p w14:paraId="70FC07B2" w14:textId="77777777" w:rsidR="00E771A9" w:rsidRPr="002A7D65" w:rsidRDefault="00E771A9" w:rsidP="000C2595">
            <w:pPr>
              <w:ind w:firstLine="0"/>
            </w:pPr>
            <w:r w:rsidRPr="002A7D65">
              <w:t>Milj. ASV dolāru</w:t>
            </w:r>
          </w:p>
        </w:tc>
        <w:tc>
          <w:tcPr>
            <w:tcW w:w="967" w:type="dxa"/>
            <w:shd w:val="clear" w:color="auto" w:fill="auto"/>
            <w:noWrap/>
            <w:vAlign w:val="bottom"/>
            <w:hideMark/>
          </w:tcPr>
          <w:p w14:paraId="0FC0327A" w14:textId="77777777" w:rsidR="00E771A9" w:rsidRPr="002A7D65" w:rsidRDefault="00E771A9" w:rsidP="000C2595">
            <w:pPr>
              <w:ind w:firstLine="0"/>
            </w:pPr>
            <w:r w:rsidRPr="002A7D65">
              <w:t>Ilgums gados</w:t>
            </w:r>
          </w:p>
        </w:tc>
        <w:tc>
          <w:tcPr>
            <w:tcW w:w="5739" w:type="dxa"/>
            <w:shd w:val="clear" w:color="auto" w:fill="auto"/>
            <w:noWrap/>
            <w:vAlign w:val="bottom"/>
            <w:hideMark/>
          </w:tcPr>
          <w:p w14:paraId="5B5D1AB5" w14:textId="77777777" w:rsidR="00E771A9" w:rsidRPr="002A7D65" w:rsidRDefault="00E771A9" w:rsidP="000C2595">
            <w:pPr>
              <w:ind w:firstLine="0"/>
            </w:pPr>
            <w:r w:rsidRPr="002A7D65">
              <w:t>Mērķgrupa</w:t>
            </w:r>
          </w:p>
        </w:tc>
      </w:tr>
      <w:tr w:rsidR="00E771A9" w:rsidRPr="002A7D65" w14:paraId="519E624F" w14:textId="77777777" w:rsidTr="000C2595">
        <w:trPr>
          <w:trHeight w:val="300"/>
        </w:trPr>
        <w:tc>
          <w:tcPr>
            <w:tcW w:w="1601" w:type="dxa"/>
            <w:shd w:val="clear" w:color="auto" w:fill="auto"/>
            <w:noWrap/>
            <w:vAlign w:val="bottom"/>
            <w:hideMark/>
          </w:tcPr>
          <w:p w14:paraId="455D9E3A" w14:textId="77777777" w:rsidR="00E771A9" w:rsidRPr="002A7D65" w:rsidRDefault="00E771A9" w:rsidP="000C2595">
            <w:pPr>
              <w:ind w:firstLine="0"/>
            </w:pPr>
            <w:r w:rsidRPr="002A7D65">
              <w:t>Kanāda</w:t>
            </w:r>
          </w:p>
        </w:tc>
        <w:tc>
          <w:tcPr>
            <w:tcW w:w="1574" w:type="dxa"/>
            <w:shd w:val="clear" w:color="auto" w:fill="auto"/>
            <w:noWrap/>
            <w:vAlign w:val="bottom"/>
            <w:hideMark/>
          </w:tcPr>
          <w:p w14:paraId="338BFA93" w14:textId="77777777" w:rsidR="00E771A9" w:rsidRPr="002A7D65" w:rsidRDefault="00E771A9" w:rsidP="000C2595">
            <w:pPr>
              <w:ind w:firstLine="0"/>
            </w:pPr>
            <w:r w:rsidRPr="002A7D65">
              <w:t>77</w:t>
            </w:r>
          </w:p>
        </w:tc>
        <w:tc>
          <w:tcPr>
            <w:tcW w:w="967" w:type="dxa"/>
            <w:shd w:val="clear" w:color="auto" w:fill="auto"/>
            <w:noWrap/>
            <w:vAlign w:val="bottom"/>
            <w:hideMark/>
          </w:tcPr>
          <w:p w14:paraId="1C18BBA3" w14:textId="77777777" w:rsidR="00E771A9" w:rsidRPr="002A7D65" w:rsidRDefault="00E771A9" w:rsidP="000C2595">
            <w:pPr>
              <w:ind w:firstLine="0"/>
            </w:pPr>
            <w:r w:rsidRPr="002A7D65">
              <w:t>Ikgadēji</w:t>
            </w:r>
          </w:p>
        </w:tc>
        <w:tc>
          <w:tcPr>
            <w:tcW w:w="5739" w:type="dxa"/>
            <w:shd w:val="clear" w:color="auto" w:fill="auto"/>
            <w:noWrap/>
            <w:vAlign w:val="bottom"/>
            <w:hideMark/>
          </w:tcPr>
          <w:p w14:paraId="7BE314B5" w14:textId="77777777" w:rsidR="00E771A9" w:rsidRPr="002A7D65" w:rsidRDefault="00E771A9" w:rsidP="000C2595">
            <w:pPr>
              <w:ind w:firstLine="0"/>
            </w:pPr>
            <w:r w:rsidRPr="002A7D65">
              <w:t>23 izcilības centru tīkls 23</w:t>
            </w:r>
          </w:p>
        </w:tc>
      </w:tr>
      <w:tr w:rsidR="00E771A9" w:rsidRPr="002A7D65" w14:paraId="31C38240" w14:textId="77777777" w:rsidTr="000C2595">
        <w:trPr>
          <w:trHeight w:val="300"/>
        </w:trPr>
        <w:tc>
          <w:tcPr>
            <w:tcW w:w="1601" w:type="dxa"/>
            <w:shd w:val="clear" w:color="auto" w:fill="auto"/>
            <w:noWrap/>
            <w:vAlign w:val="bottom"/>
            <w:hideMark/>
          </w:tcPr>
          <w:p w14:paraId="442E4299" w14:textId="77777777" w:rsidR="00E771A9" w:rsidRPr="002A7D65" w:rsidRDefault="00E771A9" w:rsidP="000C2595">
            <w:pPr>
              <w:ind w:firstLine="0"/>
            </w:pPr>
            <w:r w:rsidRPr="002A7D65">
              <w:t>Kanāda</w:t>
            </w:r>
          </w:p>
        </w:tc>
        <w:tc>
          <w:tcPr>
            <w:tcW w:w="1574" w:type="dxa"/>
            <w:shd w:val="clear" w:color="auto" w:fill="auto"/>
            <w:noWrap/>
            <w:vAlign w:val="bottom"/>
            <w:hideMark/>
          </w:tcPr>
          <w:p w14:paraId="3DBDAF83" w14:textId="77777777" w:rsidR="00E771A9" w:rsidRPr="002A7D65" w:rsidRDefault="00E771A9" w:rsidP="000C2595">
            <w:pPr>
              <w:ind w:firstLine="0"/>
            </w:pPr>
            <w:r w:rsidRPr="002A7D65">
              <w:t>21</w:t>
            </w:r>
          </w:p>
        </w:tc>
        <w:tc>
          <w:tcPr>
            <w:tcW w:w="967" w:type="dxa"/>
            <w:shd w:val="clear" w:color="auto" w:fill="auto"/>
            <w:noWrap/>
            <w:vAlign w:val="bottom"/>
            <w:hideMark/>
          </w:tcPr>
          <w:p w14:paraId="31031CD1" w14:textId="77777777" w:rsidR="00E771A9" w:rsidRPr="002A7D65" w:rsidRDefault="00E771A9" w:rsidP="000C2595">
            <w:pPr>
              <w:ind w:firstLine="0"/>
            </w:pPr>
            <w:r w:rsidRPr="002A7D65">
              <w:t>3</w:t>
            </w:r>
          </w:p>
        </w:tc>
        <w:tc>
          <w:tcPr>
            <w:tcW w:w="5739" w:type="dxa"/>
            <w:shd w:val="clear" w:color="auto" w:fill="auto"/>
            <w:noWrap/>
            <w:vAlign w:val="bottom"/>
            <w:hideMark/>
          </w:tcPr>
          <w:p w14:paraId="5F754ACD" w14:textId="77777777" w:rsidR="00E771A9" w:rsidRPr="002A7D65" w:rsidRDefault="00E771A9" w:rsidP="000C2595">
            <w:pPr>
              <w:ind w:firstLine="0"/>
            </w:pPr>
            <w:r w:rsidRPr="002A7D65">
              <w:t>Atbalsts 4 federālām zinātnes prioritātēm</w:t>
            </w:r>
          </w:p>
        </w:tc>
      </w:tr>
      <w:tr w:rsidR="00E771A9" w:rsidRPr="002A7D65" w14:paraId="7165FFAA" w14:textId="77777777" w:rsidTr="000C2595">
        <w:trPr>
          <w:trHeight w:val="300"/>
        </w:trPr>
        <w:tc>
          <w:tcPr>
            <w:tcW w:w="1601" w:type="dxa"/>
            <w:shd w:val="clear" w:color="auto" w:fill="auto"/>
            <w:noWrap/>
            <w:vAlign w:val="bottom"/>
            <w:hideMark/>
          </w:tcPr>
          <w:p w14:paraId="34689AAE" w14:textId="77777777" w:rsidR="00E771A9" w:rsidRPr="002A7D65" w:rsidRDefault="00E771A9" w:rsidP="000C2595">
            <w:pPr>
              <w:ind w:firstLine="0"/>
            </w:pPr>
            <w:r w:rsidRPr="002A7D65">
              <w:lastRenderedPageBreak/>
              <w:t>Ķīna</w:t>
            </w:r>
          </w:p>
        </w:tc>
        <w:tc>
          <w:tcPr>
            <w:tcW w:w="1574" w:type="dxa"/>
            <w:shd w:val="clear" w:color="auto" w:fill="auto"/>
            <w:noWrap/>
            <w:vAlign w:val="bottom"/>
            <w:hideMark/>
          </w:tcPr>
          <w:p w14:paraId="2C02DF5A" w14:textId="77777777" w:rsidR="00E771A9" w:rsidRPr="002A7D65" w:rsidRDefault="00E771A9" w:rsidP="000C2595">
            <w:pPr>
              <w:ind w:firstLine="0"/>
            </w:pPr>
            <w:r w:rsidRPr="002A7D65">
              <w:t>25</w:t>
            </w:r>
          </w:p>
        </w:tc>
        <w:tc>
          <w:tcPr>
            <w:tcW w:w="967" w:type="dxa"/>
            <w:shd w:val="clear" w:color="auto" w:fill="auto"/>
            <w:noWrap/>
            <w:vAlign w:val="bottom"/>
            <w:hideMark/>
          </w:tcPr>
          <w:p w14:paraId="053F46E2" w14:textId="77777777" w:rsidR="00E771A9" w:rsidRPr="002A7D65" w:rsidRDefault="00E771A9" w:rsidP="000C2595">
            <w:pPr>
              <w:ind w:firstLine="0"/>
            </w:pPr>
            <w:r w:rsidRPr="002A7D65">
              <w:t>4</w:t>
            </w:r>
          </w:p>
        </w:tc>
        <w:tc>
          <w:tcPr>
            <w:tcW w:w="5739" w:type="dxa"/>
            <w:shd w:val="clear" w:color="auto" w:fill="auto"/>
            <w:noWrap/>
            <w:vAlign w:val="bottom"/>
            <w:hideMark/>
          </w:tcPr>
          <w:p w14:paraId="678EEEA4" w14:textId="77777777" w:rsidR="00E771A9" w:rsidRPr="002A7D65" w:rsidRDefault="00E771A9" w:rsidP="000C2595">
            <w:pPr>
              <w:ind w:firstLine="0"/>
            </w:pPr>
            <w:r w:rsidRPr="002A7D65">
              <w:t xml:space="preserve">3 Zinātnes institūti un 5-12 zinātnes </w:t>
            </w:r>
            <w:proofErr w:type="spellStart"/>
            <w:r w:rsidRPr="002A7D65">
              <w:t>klāsteri</w:t>
            </w:r>
            <w:proofErr w:type="spellEnd"/>
          </w:p>
        </w:tc>
      </w:tr>
      <w:tr w:rsidR="00E771A9" w:rsidRPr="002A7D65" w14:paraId="79975508" w14:textId="77777777" w:rsidTr="000C2595">
        <w:trPr>
          <w:trHeight w:val="300"/>
        </w:trPr>
        <w:tc>
          <w:tcPr>
            <w:tcW w:w="1601" w:type="dxa"/>
            <w:shd w:val="clear" w:color="auto" w:fill="auto"/>
            <w:noWrap/>
            <w:vAlign w:val="bottom"/>
            <w:hideMark/>
          </w:tcPr>
          <w:p w14:paraId="710E00C9" w14:textId="77777777" w:rsidR="00E771A9" w:rsidRPr="002A7D65" w:rsidRDefault="00E771A9" w:rsidP="000C2595">
            <w:pPr>
              <w:ind w:firstLine="0"/>
            </w:pPr>
            <w:r w:rsidRPr="002A7D65">
              <w:t>Ķīna</w:t>
            </w:r>
          </w:p>
        </w:tc>
        <w:tc>
          <w:tcPr>
            <w:tcW w:w="1574" w:type="dxa"/>
            <w:shd w:val="clear" w:color="auto" w:fill="auto"/>
            <w:noWrap/>
            <w:vAlign w:val="bottom"/>
            <w:hideMark/>
          </w:tcPr>
          <w:p w14:paraId="41410BBE" w14:textId="77777777" w:rsidR="00E771A9" w:rsidRPr="002A7D65" w:rsidRDefault="00E771A9" w:rsidP="000C2595">
            <w:pPr>
              <w:ind w:firstLine="0"/>
            </w:pPr>
            <w:r w:rsidRPr="002A7D65">
              <w:t>5000</w:t>
            </w:r>
          </w:p>
        </w:tc>
        <w:tc>
          <w:tcPr>
            <w:tcW w:w="967" w:type="dxa"/>
            <w:shd w:val="clear" w:color="auto" w:fill="auto"/>
            <w:noWrap/>
            <w:vAlign w:val="bottom"/>
            <w:hideMark/>
          </w:tcPr>
          <w:p w14:paraId="776C4113" w14:textId="77777777" w:rsidR="00E771A9" w:rsidRPr="002A7D65" w:rsidRDefault="00E771A9" w:rsidP="000C2595">
            <w:pPr>
              <w:ind w:firstLine="0"/>
            </w:pPr>
            <w:r w:rsidRPr="002A7D65">
              <w:t>10</w:t>
            </w:r>
          </w:p>
        </w:tc>
        <w:tc>
          <w:tcPr>
            <w:tcW w:w="5739" w:type="dxa"/>
            <w:shd w:val="clear" w:color="auto" w:fill="auto"/>
            <w:noWrap/>
            <w:vAlign w:val="bottom"/>
            <w:hideMark/>
          </w:tcPr>
          <w:p w14:paraId="0F0979EE" w14:textId="77777777" w:rsidR="00E771A9" w:rsidRPr="002A7D65" w:rsidRDefault="00E771A9" w:rsidP="000C2595">
            <w:pPr>
              <w:ind w:firstLine="0"/>
            </w:pPr>
            <w:r w:rsidRPr="002A7D65">
              <w:t>107 augstskolas</w:t>
            </w:r>
          </w:p>
        </w:tc>
      </w:tr>
      <w:tr w:rsidR="00E771A9" w:rsidRPr="002A7D65" w14:paraId="5043EEFA" w14:textId="77777777" w:rsidTr="000C2595">
        <w:trPr>
          <w:trHeight w:val="300"/>
        </w:trPr>
        <w:tc>
          <w:tcPr>
            <w:tcW w:w="1601" w:type="dxa"/>
            <w:shd w:val="clear" w:color="auto" w:fill="auto"/>
            <w:noWrap/>
            <w:vAlign w:val="bottom"/>
            <w:hideMark/>
          </w:tcPr>
          <w:p w14:paraId="3DA60F3D" w14:textId="77777777" w:rsidR="00E771A9" w:rsidRPr="002A7D65" w:rsidRDefault="00E771A9" w:rsidP="000C2595">
            <w:pPr>
              <w:ind w:firstLine="0"/>
            </w:pPr>
            <w:r w:rsidRPr="002A7D65">
              <w:t>Ķīna</w:t>
            </w:r>
          </w:p>
        </w:tc>
        <w:tc>
          <w:tcPr>
            <w:tcW w:w="1574" w:type="dxa"/>
            <w:shd w:val="clear" w:color="auto" w:fill="auto"/>
            <w:noWrap/>
            <w:vAlign w:val="bottom"/>
            <w:hideMark/>
          </w:tcPr>
          <w:p w14:paraId="26A37067" w14:textId="77777777" w:rsidR="00E771A9" w:rsidRPr="002A7D65" w:rsidRDefault="00E771A9" w:rsidP="000C2595">
            <w:pPr>
              <w:ind w:firstLine="0"/>
            </w:pPr>
            <w:r w:rsidRPr="002A7D65">
              <w:t>3703</w:t>
            </w:r>
          </w:p>
        </w:tc>
        <w:tc>
          <w:tcPr>
            <w:tcW w:w="967" w:type="dxa"/>
            <w:shd w:val="clear" w:color="auto" w:fill="auto"/>
            <w:noWrap/>
            <w:vAlign w:val="bottom"/>
            <w:hideMark/>
          </w:tcPr>
          <w:p w14:paraId="671BDFB4" w14:textId="77777777" w:rsidR="00E771A9" w:rsidRPr="002A7D65" w:rsidRDefault="00E771A9" w:rsidP="000C2595">
            <w:pPr>
              <w:ind w:firstLine="0"/>
            </w:pPr>
            <w:r w:rsidRPr="002A7D65">
              <w:t>2</w:t>
            </w:r>
          </w:p>
        </w:tc>
        <w:tc>
          <w:tcPr>
            <w:tcW w:w="5739" w:type="dxa"/>
            <w:shd w:val="clear" w:color="auto" w:fill="auto"/>
            <w:noWrap/>
            <w:vAlign w:val="bottom"/>
            <w:hideMark/>
          </w:tcPr>
          <w:p w14:paraId="3361F6C0" w14:textId="77777777" w:rsidR="00E771A9" w:rsidRPr="002A7D65" w:rsidRDefault="00E771A9" w:rsidP="000C2595">
            <w:pPr>
              <w:ind w:firstLine="0"/>
            </w:pPr>
            <w:r w:rsidRPr="002A7D65">
              <w:t>39 augstskolas</w:t>
            </w:r>
          </w:p>
        </w:tc>
      </w:tr>
      <w:tr w:rsidR="00E771A9" w:rsidRPr="002A7D65" w14:paraId="2845A70B" w14:textId="77777777" w:rsidTr="000C2595">
        <w:trPr>
          <w:trHeight w:val="300"/>
        </w:trPr>
        <w:tc>
          <w:tcPr>
            <w:tcW w:w="1601" w:type="dxa"/>
            <w:shd w:val="clear" w:color="auto" w:fill="auto"/>
            <w:noWrap/>
            <w:vAlign w:val="bottom"/>
            <w:hideMark/>
          </w:tcPr>
          <w:p w14:paraId="5933D4BF" w14:textId="77777777" w:rsidR="00E771A9" w:rsidRPr="002A7D65" w:rsidRDefault="00E771A9" w:rsidP="000C2595">
            <w:pPr>
              <w:ind w:firstLine="0"/>
            </w:pPr>
            <w:r w:rsidRPr="002A7D65">
              <w:t>Ķīna</w:t>
            </w:r>
          </w:p>
        </w:tc>
        <w:tc>
          <w:tcPr>
            <w:tcW w:w="1574" w:type="dxa"/>
            <w:shd w:val="clear" w:color="auto" w:fill="auto"/>
            <w:noWrap/>
            <w:vAlign w:val="bottom"/>
            <w:hideMark/>
          </w:tcPr>
          <w:p w14:paraId="34757AC1" w14:textId="77777777" w:rsidR="00E771A9" w:rsidRPr="002A7D65" w:rsidRDefault="00E771A9" w:rsidP="000C2595">
            <w:pPr>
              <w:ind w:firstLine="0"/>
            </w:pPr>
            <w:r w:rsidRPr="002A7D65">
              <w:t>658</w:t>
            </w:r>
          </w:p>
        </w:tc>
        <w:tc>
          <w:tcPr>
            <w:tcW w:w="967" w:type="dxa"/>
            <w:shd w:val="clear" w:color="auto" w:fill="auto"/>
            <w:noWrap/>
            <w:vAlign w:val="bottom"/>
            <w:hideMark/>
          </w:tcPr>
          <w:p w14:paraId="19F31003" w14:textId="77777777" w:rsidR="00E771A9" w:rsidRPr="002A7D65" w:rsidRDefault="00E771A9" w:rsidP="000C2595">
            <w:pPr>
              <w:ind w:firstLine="0"/>
            </w:pPr>
            <w:r w:rsidRPr="002A7D65">
              <w:t>2</w:t>
            </w:r>
          </w:p>
        </w:tc>
        <w:tc>
          <w:tcPr>
            <w:tcW w:w="5739" w:type="dxa"/>
            <w:shd w:val="clear" w:color="auto" w:fill="auto"/>
            <w:noWrap/>
            <w:vAlign w:val="bottom"/>
            <w:hideMark/>
          </w:tcPr>
          <w:p w14:paraId="1CBA0B06" w14:textId="77777777" w:rsidR="00E771A9" w:rsidRPr="002A7D65" w:rsidRDefault="00E771A9" w:rsidP="000C2595">
            <w:pPr>
              <w:ind w:firstLine="0"/>
            </w:pPr>
            <w:r w:rsidRPr="002A7D65">
              <w:t>89 institūti</w:t>
            </w:r>
          </w:p>
        </w:tc>
      </w:tr>
      <w:tr w:rsidR="00E771A9" w:rsidRPr="002A7D65" w14:paraId="78C7D692" w14:textId="77777777" w:rsidTr="000C2595">
        <w:trPr>
          <w:trHeight w:val="300"/>
        </w:trPr>
        <w:tc>
          <w:tcPr>
            <w:tcW w:w="1601" w:type="dxa"/>
            <w:shd w:val="clear" w:color="auto" w:fill="auto"/>
            <w:noWrap/>
            <w:vAlign w:val="bottom"/>
            <w:hideMark/>
          </w:tcPr>
          <w:p w14:paraId="13261DE0" w14:textId="77777777" w:rsidR="00E771A9" w:rsidRPr="002A7D65" w:rsidRDefault="00E771A9" w:rsidP="000C2595">
            <w:pPr>
              <w:ind w:firstLine="0"/>
            </w:pPr>
            <w:r w:rsidRPr="002A7D65">
              <w:t>Dānija</w:t>
            </w:r>
          </w:p>
        </w:tc>
        <w:tc>
          <w:tcPr>
            <w:tcW w:w="1574" w:type="dxa"/>
            <w:shd w:val="clear" w:color="auto" w:fill="auto"/>
            <w:noWrap/>
            <w:vAlign w:val="bottom"/>
            <w:hideMark/>
          </w:tcPr>
          <w:p w14:paraId="3854DBCA" w14:textId="77777777" w:rsidR="00E771A9" w:rsidRPr="002A7D65" w:rsidRDefault="00E771A9" w:rsidP="000C2595">
            <w:pPr>
              <w:ind w:firstLine="0"/>
            </w:pPr>
            <w:r w:rsidRPr="002A7D65">
              <w:t>1900</w:t>
            </w:r>
          </w:p>
        </w:tc>
        <w:tc>
          <w:tcPr>
            <w:tcW w:w="967" w:type="dxa"/>
            <w:shd w:val="clear" w:color="auto" w:fill="auto"/>
            <w:noWrap/>
            <w:vAlign w:val="bottom"/>
            <w:hideMark/>
          </w:tcPr>
          <w:p w14:paraId="2A809DD0" w14:textId="77777777" w:rsidR="00E771A9" w:rsidRPr="002A7D65" w:rsidRDefault="00E771A9" w:rsidP="000C2595">
            <w:pPr>
              <w:ind w:firstLine="0"/>
            </w:pPr>
            <w:r w:rsidRPr="002A7D65">
              <w:t>5</w:t>
            </w:r>
          </w:p>
        </w:tc>
        <w:tc>
          <w:tcPr>
            <w:tcW w:w="5739" w:type="dxa"/>
            <w:shd w:val="clear" w:color="auto" w:fill="auto"/>
            <w:noWrap/>
            <w:vAlign w:val="bottom"/>
            <w:hideMark/>
          </w:tcPr>
          <w:p w14:paraId="23330EB4" w14:textId="77777777" w:rsidR="00E771A9" w:rsidRPr="002A7D65" w:rsidRDefault="00E771A9" w:rsidP="000C2595">
            <w:pPr>
              <w:ind w:firstLine="0"/>
            </w:pPr>
            <w:r w:rsidRPr="002A7D65">
              <w:t>Visām universitātēm valstī</w:t>
            </w:r>
          </w:p>
        </w:tc>
      </w:tr>
      <w:tr w:rsidR="00E771A9" w:rsidRPr="002A7D65" w14:paraId="16A57121" w14:textId="77777777" w:rsidTr="000C2595">
        <w:trPr>
          <w:trHeight w:val="300"/>
        </w:trPr>
        <w:tc>
          <w:tcPr>
            <w:tcW w:w="1601" w:type="dxa"/>
            <w:shd w:val="clear" w:color="auto" w:fill="auto"/>
            <w:noWrap/>
            <w:vAlign w:val="bottom"/>
            <w:hideMark/>
          </w:tcPr>
          <w:p w14:paraId="257F8E4F" w14:textId="77777777" w:rsidR="00E771A9" w:rsidRPr="002A7D65" w:rsidRDefault="00E771A9" w:rsidP="000C2595">
            <w:pPr>
              <w:ind w:firstLine="0"/>
            </w:pPr>
            <w:r w:rsidRPr="002A7D65">
              <w:t>Francija</w:t>
            </w:r>
          </w:p>
        </w:tc>
        <w:tc>
          <w:tcPr>
            <w:tcW w:w="1574" w:type="dxa"/>
            <w:shd w:val="clear" w:color="auto" w:fill="auto"/>
            <w:noWrap/>
            <w:vAlign w:val="bottom"/>
            <w:hideMark/>
          </w:tcPr>
          <w:p w14:paraId="29833C80" w14:textId="77777777" w:rsidR="00E771A9" w:rsidRPr="002A7D65" w:rsidRDefault="00E771A9" w:rsidP="000C2595">
            <w:pPr>
              <w:ind w:firstLine="0"/>
            </w:pPr>
            <w:r w:rsidRPr="002A7D65">
              <w:t>5360</w:t>
            </w:r>
          </w:p>
        </w:tc>
        <w:tc>
          <w:tcPr>
            <w:tcW w:w="967" w:type="dxa"/>
            <w:shd w:val="clear" w:color="auto" w:fill="auto"/>
            <w:noWrap/>
            <w:vAlign w:val="bottom"/>
            <w:hideMark/>
          </w:tcPr>
          <w:p w14:paraId="2AB4BF23" w14:textId="77777777" w:rsidR="00E771A9" w:rsidRPr="002A7D65" w:rsidRDefault="00E771A9" w:rsidP="000C2595">
            <w:pPr>
              <w:ind w:firstLine="0"/>
            </w:pPr>
          </w:p>
        </w:tc>
        <w:tc>
          <w:tcPr>
            <w:tcW w:w="5739" w:type="dxa"/>
            <w:shd w:val="clear" w:color="auto" w:fill="auto"/>
            <w:noWrap/>
            <w:vAlign w:val="bottom"/>
            <w:hideMark/>
          </w:tcPr>
          <w:p w14:paraId="731563E0" w14:textId="77777777" w:rsidR="00E771A9" w:rsidRPr="002A7D65" w:rsidRDefault="00E771A9" w:rsidP="000C2595">
            <w:pPr>
              <w:ind w:firstLine="0"/>
            </w:pPr>
            <w:r w:rsidRPr="002A7D65">
              <w:t>10 reģionālie izcilības centri</w:t>
            </w:r>
          </w:p>
        </w:tc>
      </w:tr>
      <w:tr w:rsidR="00E771A9" w:rsidRPr="002A7D65" w14:paraId="55B9F70B" w14:textId="77777777" w:rsidTr="000C2595">
        <w:trPr>
          <w:trHeight w:val="300"/>
        </w:trPr>
        <w:tc>
          <w:tcPr>
            <w:tcW w:w="1601" w:type="dxa"/>
            <w:shd w:val="clear" w:color="auto" w:fill="auto"/>
            <w:noWrap/>
            <w:vAlign w:val="bottom"/>
            <w:hideMark/>
          </w:tcPr>
          <w:p w14:paraId="63F1B010" w14:textId="77777777" w:rsidR="00E771A9" w:rsidRPr="002A7D65" w:rsidRDefault="00E771A9" w:rsidP="000C2595">
            <w:pPr>
              <w:ind w:firstLine="0"/>
            </w:pPr>
            <w:r w:rsidRPr="002A7D65">
              <w:t>Vācija</w:t>
            </w:r>
          </w:p>
        </w:tc>
        <w:tc>
          <w:tcPr>
            <w:tcW w:w="1574" w:type="dxa"/>
            <w:shd w:val="clear" w:color="auto" w:fill="auto"/>
            <w:noWrap/>
            <w:vAlign w:val="bottom"/>
            <w:hideMark/>
          </w:tcPr>
          <w:p w14:paraId="49FC550A" w14:textId="77777777" w:rsidR="00E771A9" w:rsidRPr="002A7D65" w:rsidRDefault="00E771A9" w:rsidP="000C2595">
            <w:pPr>
              <w:ind w:firstLine="0"/>
            </w:pPr>
            <w:r w:rsidRPr="002A7D65">
              <w:t>2300</w:t>
            </w:r>
          </w:p>
        </w:tc>
        <w:tc>
          <w:tcPr>
            <w:tcW w:w="967" w:type="dxa"/>
            <w:shd w:val="clear" w:color="auto" w:fill="auto"/>
            <w:noWrap/>
            <w:vAlign w:val="bottom"/>
            <w:hideMark/>
          </w:tcPr>
          <w:p w14:paraId="70574ACE" w14:textId="77777777" w:rsidR="00E771A9" w:rsidRPr="002A7D65" w:rsidRDefault="00E771A9" w:rsidP="000C2595">
            <w:pPr>
              <w:ind w:firstLine="0"/>
            </w:pPr>
            <w:r w:rsidRPr="002A7D65">
              <w:t>5</w:t>
            </w:r>
          </w:p>
        </w:tc>
        <w:tc>
          <w:tcPr>
            <w:tcW w:w="5739" w:type="dxa"/>
            <w:shd w:val="clear" w:color="auto" w:fill="auto"/>
            <w:noWrap/>
            <w:vAlign w:val="bottom"/>
            <w:hideMark/>
          </w:tcPr>
          <w:p w14:paraId="5FDDA96F" w14:textId="77777777" w:rsidR="00E771A9" w:rsidRPr="002A7D65" w:rsidRDefault="00E771A9" w:rsidP="000C2595">
            <w:pPr>
              <w:ind w:firstLine="0"/>
            </w:pPr>
            <w:r w:rsidRPr="002A7D65">
              <w:t xml:space="preserve">40 fakultātes, 30 izcilības </w:t>
            </w:r>
            <w:proofErr w:type="spellStart"/>
            <w:r w:rsidRPr="002A7D65">
              <w:t>klāsteri</w:t>
            </w:r>
            <w:proofErr w:type="spellEnd"/>
            <w:r w:rsidRPr="002A7D65">
              <w:t>, 10 vadošās zinātnes universitātes</w:t>
            </w:r>
          </w:p>
        </w:tc>
      </w:tr>
      <w:tr w:rsidR="00E771A9" w:rsidRPr="002A7D65" w14:paraId="04FC9192" w14:textId="77777777" w:rsidTr="000C2595">
        <w:trPr>
          <w:trHeight w:val="300"/>
        </w:trPr>
        <w:tc>
          <w:tcPr>
            <w:tcW w:w="1601" w:type="dxa"/>
            <w:shd w:val="clear" w:color="auto" w:fill="auto"/>
            <w:noWrap/>
            <w:vAlign w:val="bottom"/>
            <w:hideMark/>
          </w:tcPr>
          <w:p w14:paraId="5A47342A" w14:textId="77777777" w:rsidR="00E771A9" w:rsidRPr="002A7D65" w:rsidRDefault="00E771A9" w:rsidP="000C2595">
            <w:pPr>
              <w:ind w:firstLine="0"/>
            </w:pPr>
            <w:r w:rsidRPr="002A7D65">
              <w:t>Japāna</w:t>
            </w:r>
          </w:p>
        </w:tc>
        <w:tc>
          <w:tcPr>
            <w:tcW w:w="1574" w:type="dxa"/>
            <w:shd w:val="clear" w:color="auto" w:fill="auto"/>
            <w:noWrap/>
            <w:vAlign w:val="bottom"/>
            <w:hideMark/>
          </w:tcPr>
          <w:p w14:paraId="78A920EC" w14:textId="77777777" w:rsidR="00E771A9" w:rsidRPr="002A7D65" w:rsidRDefault="00E771A9" w:rsidP="000C2595">
            <w:pPr>
              <w:ind w:firstLine="0"/>
            </w:pPr>
            <w:r w:rsidRPr="002A7D65">
              <w:t>257</w:t>
            </w:r>
          </w:p>
        </w:tc>
        <w:tc>
          <w:tcPr>
            <w:tcW w:w="967" w:type="dxa"/>
            <w:shd w:val="clear" w:color="auto" w:fill="auto"/>
            <w:noWrap/>
            <w:vAlign w:val="bottom"/>
            <w:hideMark/>
          </w:tcPr>
          <w:p w14:paraId="0B60ECA2" w14:textId="77777777" w:rsidR="00E771A9" w:rsidRPr="002A7D65" w:rsidRDefault="00E771A9" w:rsidP="000C2595">
            <w:pPr>
              <w:ind w:firstLine="0"/>
            </w:pPr>
            <w:r w:rsidRPr="002A7D65">
              <w:t>5</w:t>
            </w:r>
          </w:p>
        </w:tc>
        <w:tc>
          <w:tcPr>
            <w:tcW w:w="5739" w:type="dxa"/>
            <w:shd w:val="clear" w:color="auto" w:fill="auto"/>
            <w:noWrap/>
            <w:vAlign w:val="bottom"/>
            <w:hideMark/>
          </w:tcPr>
          <w:p w14:paraId="2062AFBC" w14:textId="77777777" w:rsidR="00E771A9" w:rsidRPr="002A7D65" w:rsidRDefault="00E771A9" w:rsidP="000C2595">
            <w:pPr>
              <w:ind w:firstLine="0"/>
            </w:pPr>
            <w:r w:rsidRPr="002A7D65">
              <w:t>31 augstskolas</w:t>
            </w:r>
          </w:p>
        </w:tc>
      </w:tr>
      <w:tr w:rsidR="00E771A9" w:rsidRPr="002A7D65" w14:paraId="641D08DB" w14:textId="77777777" w:rsidTr="000C2595">
        <w:trPr>
          <w:trHeight w:val="300"/>
        </w:trPr>
        <w:tc>
          <w:tcPr>
            <w:tcW w:w="1601" w:type="dxa"/>
            <w:shd w:val="clear" w:color="auto" w:fill="auto"/>
            <w:noWrap/>
            <w:vAlign w:val="bottom"/>
            <w:hideMark/>
          </w:tcPr>
          <w:p w14:paraId="68695272" w14:textId="77777777" w:rsidR="00E771A9" w:rsidRPr="002A7D65" w:rsidRDefault="00E771A9" w:rsidP="000C2595">
            <w:pPr>
              <w:ind w:firstLine="0"/>
            </w:pPr>
            <w:r w:rsidRPr="002A7D65">
              <w:t>Japāna</w:t>
            </w:r>
          </w:p>
        </w:tc>
        <w:tc>
          <w:tcPr>
            <w:tcW w:w="1574" w:type="dxa"/>
            <w:shd w:val="clear" w:color="auto" w:fill="auto"/>
            <w:noWrap/>
            <w:vAlign w:val="bottom"/>
            <w:hideMark/>
          </w:tcPr>
          <w:p w14:paraId="2B8CD966" w14:textId="77777777" w:rsidR="00E771A9" w:rsidRPr="002A7D65" w:rsidRDefault="00E771A9" w:rsidP="000C2595">
            <w:pPr>
              <w:ind w:firstLine="0"/>
            </w:pPr>
            <w:r w:rsidRPr="002A7D65">
              <w:t>1.5-16.2 Uz iestādi</w:t>
            </w:r>
          </w:p>
        </w:tc>
        <w:tc>
          <w:tcPr>
            <w:tcW w:w="967" w:type="dxa"/>
            <w:shd w:val="clear" w:color="auto" w:fill="auto"/>
            <w:noWrap/>
            <w:vAlign w:val="bottom"/>
            <w:hideMark/>
          </w:tcPr>
          <w:p w14:paraId="557CECCE" w14:textId="77777777" w:rsidR="00E771A9" w:rsidRPr="002A7D65" w:rsidRDefault="00E771A9" w:rsidP="000C2595">
            <w:pPr>
              <w:ind w:firstLine="0"/>
            </w:pPr>
            <w:r w:rsidRPr="002A7D65">
              <w:t>5</w:t>
            </w:r>
          </w:p>
        </w:tc>
        <w:tc>
          <w:tcPr>
            <w:tcW w:w="5739" w:type="dxa"/>
            <w:shd w:val="clear" w:color="auto" w:fill="auto"/>
            <w:noWrap/>
            <w:vAlign w:val="bottom"/>
            <w:hideMark/>
          </w:tcPr>
          <w:p w14:paraId="34957101" w14:textId="77777777" w:rsidR="00E771A9" w:rsidRPr="002A7D65" w:rsidRDefault="00E771A9" w:rsidP="000C2595">
            <w:pPr>
              <w:ind w:firstLine="0"/>
            </w:pPr>
            <w:r w:rsidRPr="002A7D65">
              <w:t>50-75 izcilības centri gadā</w:t>
            </w:r>
          </w:p>
        </w:tc>
      </w:tr>
      <w:tr w:rsidR="00E771A9" w:rsidRPr="002A7D65" w14:paraId="28203593" w14:textId="77777777" w:rsidTr="000C2595">
        <w:trPr>
          <w:trHeight w:val="300"/>
        </w:trPr>
        <w:tc>
          <w:tcPr>
            <w:tcW w:w="1601" w:type="dxa"/>
            <w:shd w:val="clear" w:color="auto" w:fill="auto"/>
            <w:noWrap/>
            <w:vAlign w:val="bottom"/>
            <w:hideMark/>
          </w:tcPr>
          <w:p w14:paraId="48E99D10" w14:textId="77777777" w:rsidR="00E771A9" w:rsidRPr="002A7D65" w:rsidRDefault="00E771A9" w:rsidP="000C2595">
            <w:pPr>
              <w:ind w:firstLine="0"/>
            </w:pPr>
            <w:r w:rsidRPr="002A7D65">
              <w:t>Koreja</w:t>
            </w:r>
          </w:p>
        </w:tc>
        <w:tc>
          <w:tcPr>
            <w:tcW w:w="1574" w:type="dxa"/>
            <w:shd w:val="clear" w:color="auto" w:fill="auto"/>
            <w:noWrap/>
            <w:vAlign w:val="bottom"/>
            <w:hideMark/>
          </w:tcPr>
          <w:p w14:paraId="453B510B" w14:textId="77777777" w:rsidR="00E771A9" w:rsidRPr="002A7D65" w:rsidRDefault="00E771A9" w:rsidP="000C2595">
            <w:pPr>
              <w:ind w:firstLine="0"/>
            </w:pPr>
            <w:r w:rsidRPr="002A7D65">
              <w:t>1170</w:t>
            </w:r>
          </w:p>
        </w:tc>
        <w:tc>
          <w:tcPr>
            <w:tcW w:w="967" w:type="dxa"/>
            <w:shd w:val="clear" w:color="auto" w:fill="auto"/>
            <w:noWrap/>
            <w:vAlign w:val="bottom"/>
            <w:hideMark/>
          </w:tcPr>
          <w:p w14:paraId="0FA0F1DC" w14:textId="77777777" w:rsidR="00E771A9" w:rsidRPr="002A7D65" w:rsidRDefault="00E771A9" w:rsidP="000C2595">
            <w:pPr>
              <w:ind w:firstLine="0"/>
            </w:pPr>
            <w:r w:rsidRPr="002A7D65">
              <w:t>7</w:t>
            </w:r>
          </w:p>
        </w:tc>
        <w:tc>
          <w:tcPr>
            <w:tcW w:w="5739" w:type="dxa"/>
            <w:shd w:val="clear" w:color="auto" w:fill="auto"/>
            <w:noWrap/>
            <w:vAlign w:val="bottom"/>
            <w:hideMark/>
          </w:tcPr>
          <w:p w14:paraId="2C6B36C0" w14:textId="77777777" w:rsidR="00E771A9" w:rsidRPr="002A7D65" w:rsidRDefault="00E771A9" w:rsidP="000C2595">
            <w:pPr>
              <w:ind w:firstLine="0"/>
            </w:pPr>
            <w:r w:rsidRPr="002A7D65">
              <w:t>71 augstskolas</w:t>
            </w:r>
          </w:p>
        </w:tc>
      </w:tr>
      <w:tr w:rsidR="00E771A9" w:rsidRPr="002A7D65" w14:paraId="7DE39A75" w14:textId="77777777" w:rsidTr="000C2595">
        <w:trPr>
          <w:trHeight w:val="300"/>
        </w:trPr>
        <w:tc>
          <w:tcPr>
            <w:tcW w:w="1601" w:type="dxa"/>
            <w:shd w:val="clear" w:color="auto" w:fill="auto"/>
            <w:noWrap/>
            <w:vAlign w:val="bottom"/>
            <w:hideMark/>
          </w:tcPr>
          <w:p w14:paraId="76B4095D" w14:textId="77777777" w:rsidR="00E771A9" w:rsidRPr="002A7D65" w:rsidRDefault="00E771A9" w:rsidP="000C2595">
            <w:pPr>
              <w:ind w:firstLine="0"/>
            </w:pPr>
            <w:r w:rsidRPr="002A7D65">
              <w:t>Koreja</w:t>
            </w:r>
          </w:p>
        </w:tc>
        <w:tc>
          <w:tcPr>
            <w:tcW w:w="1574" w:type="dxa"/>
            <w:shd w:val="clear" w:color="auto" w:fill="auto"/>
            <w:noWrap/>
            <w:vAlign w:val="bottom"/>
            <w:hideMark/>
          </w:tcPr>
          <w:p w14:paraId="73D82121" w14:textId="77777777" w:rsidR="00E771A9" w:rsidRPr="002A7D65" w:rsidRDefault="00E771A9" w:rsidP="000C2595">
            <w:pPr>
              <w:ind w:firstLine="0"/>
            </w:pPr>
            <w:r w:rsidRPr="002A7D65">
              <w:t>577</w:t>
            </w:r>
          </w:p>
        </w:tc>
        <w:tc>
          <w:tcPr>
            <w:tcW w:w="967" w:type="dxa"/>
            <w:shd w:val="clear" w:color="auto" w:fill="auto"/>
            <w:noWrap/>
            <w:vAlign w:val="bottom"/>
            <w:hideMark/>
          </w:tcPr>
          <w:p w14:paraId="457BE201" w14:textId="77777777" w:rsidR="00E771A9" w:rsidRPr="002A7D65" w:rsidRDefault="00E771A9" w:rsidP="000C2595">
            <w:pPr>
              <w:ind w:firstLine="0"/>
            </w:pPr>
            <w:r w:rsidRPr="002A7D65">
              <w:t>9</w:t>
            </w:r>
          </w:p>
        </w:tc>
        <w:tc>
          <w:tcPr>
            <w:tcW w:w="5739" w:type="dxa"/>
            <w:shd w:val="clear" w:color="auto" w:fill="auto"/>
            <w:noWrap/>
            <w:vAlign w:val="bottom"/>
            <w:hideMark/>
          </w:tcPr>
          <w:p w14:paraId="3C9A134F" w14:textId="77777777" w:rsidR="00E771A9" w:rsidRPr="002A7D65" w:rsidRDefault="00E771A9" w:rsidP="000C2595">
            <w:pPr>
              <w:ind w:firstLine="0"/>
            </w:pPr>
            <w:r w:rsidRPr="002A7D65">
              <w:t>65 inženierijas pētniecības centri</w:t>
            </w:r>
          </w:p>
        </w:tc>
      </w:tr>
      <w:tr w:rsidR="00E771A9" w:rsidRPr="002A7D65" w14:paraId="21051965" w14:textId="77777777" w:rsidTr="000C2595">
        <w:trPr>
          <w:trHeight w:val="300"/>
        </w:trPr>
        <w:tc>
          <w:tcPr>
            <w:tcW w:w="1601" w:type="dxa"/>
            <w:shd w:val="clear" w:color="auto" w:fill="auto"/>
            <w:noWrap/>
            <w:vAlign w:val="bottom"/>
            <w:hideMark/>
          </w:tcPr>
          <w:p w14:paraId="1FA975C3" w14:textId="77777777" w:rsidR="00E771A9" w:rsidRPr="002A7D65" w:rsidRDefault="00E771A9" w:rsidP="000C2595">
            <w:pPr>
              <w:ind w:firstLine="0"/>
            </w:pPr>
            <w:r w:rsidRPr="002A7D65">
              <w:t>Koreja</w:t>
            </w:r>
          </w:p>
        </w:tc>
        <w:tc>
          <w:tcPr>
            <w:tcW w:w="1574" w:type="dxa"/>
            <w:shd w:val="clear" w:color="auto" w:fill="auto"/>
            <w:noWrap/>
            <w:vAlign w:val="bottom"/>
            <w:hideMark/>
          </w:tcPr>
          <w:p w14:paraId="43178C09" w14:textId="77777777" w:rsidR="00E771A9" w:rsidRPr="002A7D65" w:rsidRDefault="00E771A9" w:rsidP="000C2595">
            <w:pPr>
              <w:ind w:firstLine="0"/>
            </w:pPr>
            <w:r w:rsidRPr="002A7D65">
              <w:t>63</w:t>
            </w:r>
          </w:p>
        </w:tc>
        <w:tc>
          <w:tcPr>
            <w:tcW w:w="967" w:type="dxa"/>
            <w:shd w:val="clear" w:color="auto" w:fill="auto"/>
            <w:noWrap/>
            <w:vAlign w:val="bottom"/>
            <w:hideMark/>
          </w:tcPr>
          <w:p w14:paraId="79641912" w14:textId="77777777" w:rsidR="00E771A9" w:rsidRPr="002A7D65" w:rsidRDefault="00E771A9" w:rsidP="000C2595">
            <w:pPr>
              <w:ind w:firstLine="0"/>
            </w:pPr>
            <w:r w:rsidRPr="002A7D65">
              <w:t>9</w:t>
            </w:r>
          </w:p>
        </w:tc>
        <w:tc>
          <w:tcPr>
            <w:tcW w:w="5739" w:type="dxa"/>
            <w:shd w:val="clear" w:color="auto" w:fill="auto"/>
            <w:noWrap/>
            <w:vAlign w:val="bottom"/>
            <w:hideMark/>
          </w:tcPr>
          <w:p w14:paraId="1022C5A6" w14:textId="77777777" w:rsidR="00E771A9" w:rsidRPr="002A7D65" w:rsidRDefault="00E771A9" w:rsidP="000C2595">
            <w:pPr>
              <w:ind w:firstLine="0"/>
            </w:pPr>
            <w:r w:rsidRPr="002A7D65">
              <w:t>18 medicīnas zinātņu un inženierijas pētniecības centri</w:t>
            </w:r>
          </w:p>
        </w:tc>
      </w:tr>
      <w:tr w:rsidR="00E771A9" w:rsidRPr="002A7D65" w14:paraId="015A2863" w14:textId="77777777" w:rsidTr="000C2595">
        <w:trPr>
          <w:trHeight w:val="300"/>
        </w:trPr>
        <w:tc>
          <w:tcPr>
            <w:tcW w:w="1601" w:type="dxa"/>
            <w:shd w:val="clear" w:color="auto" w:fill="auto"/>
            <w:noWrap/>
            <w:vAlign w:val="bottom"/>
            <w:hideMark/>
          </w:tcPr>
          <w:p w14:paraId="5BABF1FC" w14:textId="77777777" w:rsidR="00E771A9" w:rsidRPr="002A7D65" w:rsidRDefault="00E771A9" w:rsidP="000C2595">
            <w:pPr>
              <w:ind w:firstLine="0"/>
            </w:pPr>
            <w:r w:rsidRPr="002A7D65">
              <w:t>Koreja</w:t>
            </w:r>
          </w:p>
        </w:tc>
        <w:tc>
          <w:tcPr>
            <w:tcW w:w="1574" w:type="dxa"/>
            <w:shd w:val="clear" w:color="auto" w:fill="auto"/>
            <w:noWrap/>
            <w:vAlign w:val="bottom"/>
            <w:hideMark/>
          </w:tcPr>
          <w:p w14:paraId="6E6F3686" w14:textId="77777777" w:rsidR="00E771A9" w:rsidRPr="002A7D65" w:rsidRDefault="00E771A9" w:rsidP="000C2595">
            <w:pPr>
              <w:ind w:firstLine="0"/>
            </w:pPr>
            <w:r w:rsidRPr="002A7D65">
              <w:t>74,9</w:t>
            </w:r>
          </w:p>
        </w:tc>
        <w:tc>
          <w:tcPr>
            <w:tcW w:w="967" w:type="dxa"/>
            <w:shd w:val="clear" w:color="auto" w:fill="auto"/>
            <w:noWrap/>
            <w:vAlign w:val="bottom"/>
            <w:hideMark/>
          </w:tcPr>
          <w:p w14:paraId="3B8B94B0" w14:textId="77777777" w:rsidR="00E771A9" w:rsidRPr="002A7D65" w:rsidRDefault="00E771A9" w:rsidP="000C2595">
            <w:pPr>
              <w:ind w:firstLine="0"/>
            </w:pPr>
            <w:r w:rsidRPr="002A7D65">
              <w:t>7</w:t>
            </w:r>
          </w:p>
        </w:tc>
        <w:tc>
          <w:tcPr>
            <w:tcW w:w="5739" w:type="dxa"/>
            <w:shd w:val="clear" w:color="auto" w:fill="auto"/>
            <w:noWrap/>
            <w:vAlign w:val="bottom"/>
            <w:hideMark/>
          </w:tcPr>
          <w:p w14:paraId="74D3EDE4" w14:textId="77777777" w:rsidR="00E771A9" w:rsidRPr="002A7D65" w:rsidRDefault="00E771A9" w:rsidP="000C2595">
            <w:pPr>
              <w:ind w:firstLine="0"/>
            </w:pPr>
            <w:r w:rsidRPr="002A7D65">
              <w:t>6 nacionālie pētnieciskie centri</w:t>
            </w:r>
          </w:p>
        </w:tc>
      </w:tr>
      <w:tr w:rsidR="00E771A9" w:rsidRPr="002A7D65" w14:paraId="3589CD60" w14:textId="77777777" w:rsidTr="000C2595">
        <w:trPr>
          <w:trHeight w:val="300"/>
        </w:trPr>
        <w:tc>
          <w:tcPr>
            <w:tcW w:w="1601" w:type="dxa"/>
            <w:shd w:val="clear" w:color="auto" w:fill="auto"/>
            <w:noWrap/>
            <w:vAlign w:val="bottom"/>
            <w:hideMark/>
          </w:tcPr>
          <w:p w14:paraId="7ACC0872" w14:textId="77777777" w:rsidR="00E771A9" w:rsidRPr="002A7D65" w:rsidRDefault="00E771A9" w:rsidP="000C2595">
            <w:pPr>
              <w:ind w:firstLine="0"/>
            </w:pPr>
            <w:r w:rsidRPr="002A7D65">
              <w:t>Krievija</w:t>
            </w:r>
          </w:p>
        </w:tc>
        <w:tc>
          <w:tcPr>
            <w:tcW w:w="1574" w:type="dxa"/>
            <w:shd w:val="clear" w:color="auto" w:fill="auto"/>
            <w:noWrap/>
            <w:vAlign w:val="bottom"/>
            <w:hideMark/>
          </w:tcPr>
          <w:p w14:paraId="006CFD3F" w14:textId="77777777" w:rsidR="00E771A9" w:rsidRPr="002A7D65" w:rsidRDefault="00E771A9" w:rsidP="000C2595">
            <w:pPr>
              <w:ind w:firstLine="0"/>
            </w:pPr>
            <w:r w:rsidRPr="002A7D65">
              <w:t>1792</w:t>
            </w:r>
          </w:p>
        </w:tc>
        <w:tc>
          <w:tcPr>
            <w:tcW w:w="967" w:type="dxa"/>
            <w:shd w:val="clear" w:color="auto" w:fill="auto"/>
            <w:noWrap/>
            <w:vAlign w:val="bottom"/>
            <w:hideMark/>
          </w:tcPr>
          <w:p w14:paraId="703C1441" w14:textId="77777777" w:rsidR="00E771A9" w:rsidRPr="002A7D65" w:rsidRDefault="00E771A9" w:rsidP="000C2595">
            <w:pPr>
              <w:ind w:firstLine="0"/>
            </w:pPr>
            <w:r w:rsidRPr="002A7D65">
              <w:t>4</w:t>
            </w:r>
          </w:p>
        </w:tc>
        <w:tc>
          <w:tcPr>
            <w:tcW w:w="5739" w:type="dxa"/>
            <w:shd w:val="clear" w:color="auto" w:fill="auto"/>
            <w:noWrap/>
            <w:vAlign w:val="bottom"/>
            <w:hideMark/>
          </w:tcPr>
          <w:p w14:paraId="4BE1EE8F" w14:textId="77777777" w:rsidR="00E771A9" w:rsidRPr="002A7D65" w:rsidRDefault="00E771A9" w:rsidP="000C2595">
            <w:pPr>
              <w:ind w:firstLine="0"/>
            </w:pPr>
            <w:r w:rsidRPr="002A7D65">
              <w:t>21 augstskolas</w:t>
            </w:r>
          </w:p>
        </w:tc>
      </w:tr>
      <w:tr w:rsidR="00E771A9" w:rsidRPr="002A7D65" w14:paraId="3515D5DA" w14:textId="77777777" w:rsidTr="000C2595">
        <w:trPr>
          <w:trHeight w:val="300"/>
        </w:trPr>
        <w:tc>
          <w:tcPr>
            <w:tcW w:w="1601" w:type="dxa"/>
            <w:shd w:val="clear" w:color="auto" w:fill="auto"/>
            <w:noWrap/>
            <w:vAlign w:val="bottom"/>
            <w:hideMark/>
          </w:tcPr>
          <w:p w14:paraId="0298A529" w14:textId="77777777" w:rsidR="00E771A9" w:rsidRPr="002A7D65" w:rsidRDefault="00E771A9" w:rsidP="000C2595">
            <w:pPr>
              <w:ind w:firstLine="0"/>
            </w:pPr>
            <w:r w:rsidRPr="002A7D65">
              <w:t>Taivāna</w:t>
            </w:r>
          </w:p>
        </w:tc>
        <w:tc>
          <w:tcPr>
            <w:tcW w:w="1574" w:type="dxa"/>
            <w:shd w:val="clear" w:color="auto" w:fill="auto"/>
            <w:noWrap/>
            <w:vAlign w:val="bottom"/>
            <w:hideMark/>
          </w:tcPr>
          <w:p w14:paraId="3504BBBC" w14:textId="77777777" w:rsidR="00E771A9" w:rsidRPr="002A7D65" w:rsidRDefault="00E771A9" w:rsidP="000C2595">
            <w:pPr>
              <w:ind w:firstLine="0"/>
            </w:pPr>
            <w:r w:rsidRPr="002A7D65">
              <w:t>400</w:t>
            </w:r>
          </w:p>
        </w:tc>
        <w:tc>
          <w:tcPr>
            <w:tcW w:w="967" w:type="dxa"/>
            <w:shd w:val="clear" w:color="auto" w:fill="auto"/>
            <w:noWrap/>
            <w:vAlign w:val="bottom"/>
            <w:hideMark/>
          </w:tcPr>
          <w:p w14:paraId="11A2EABA" w14:textId="77777777" w:rsidR="00E771A9" w:rsidRPr="002A7D65" w:rsidRDefault="00E771A9" w:rsidP="000C2595">
            <w:pPr>
              <w:ind w:firstLine="0"/>
            </w:pPr>
            <w:r w:rsidRPr="002A7D65">
              <w:t>4</w:t>
            </w:r>
          </w:p>
        </w:tc>
        <w:tc>
          <w:tcPr>
            <w:tcW w:w="5739" w:type="dxa"/>
            <w:shd w:val="clear" w:color="auto" w:fill="auto"/>
            <w:noWrap/>
            <w:vAlign w:val="bottom"/>
            <w:hideMark/>
          </w:tcPr>
          <w:p w14:paraId="32139A5E" w14:textId="77777777" w:rsidR="00E771A9" w:rsidRPr="002A7D65" w:rsidRDefault="00E771A9" w:rsidP="000C2595">
            <w:pPr>
              <w:ind w:firstLine="0"/>
            </w:pPr>
            <w:r w:rsidRPr="002A7D65">
              <w:t>Starptautiski vadošās pētnieciskās jomas</w:t>
            </w:r>
          </w:p>
        </w:tc>
      </w:tr>
      <w:tr w:rsidR="00E771A9" w:rsidRPr="002A7D65" w14:paraId="1AD96121" w14:textId="77777777" w:rsidTr="000C2595">
        <w:trPr>
          <w:trHeight w:val="300"/>
        </w:trPr>
        <w:tc>
          <w:tcPr>
            <w:tcW w:w="1601" w:type="dxa"/>
            <w:shd w:val="clear" w:color="auto" w:fill="auto"/>
            <w:noWrap/>
            <w:vAlign w:val="bottom"/>
            <w:hideMark/>
          </w:tcPr>
          <w:p w14:paraId="21B9CD89" w14:textId="77777777" w:rsidR="00E771A9" w:rsidRPr="002A7D65" w:rsidRDefault="00E771A9" w:rsidP="000C2595">
            <w:pPr>
              <w:ind w:firstLine="0"/>
            </w:pPr>
            <w:r w:rsidRPr="002A7D65">
              <w:t>Apvienotā karaliste</w:t>
            </w:r>
          </w:p>
        </w:tc>
        <w:tc>
          <w:tcPr>
            <w:tcW w:w="1574" w:type="dxa"/>
            <w:shd w:val="clear" w:color="auto" w:fill="auto"/>
            <w:noWrap/>
            <w:vAlign w:val="bottom"/>
            <w:hideMark/>
          </w:tcPr>
          <w:p w14:paraId="700EC33A" w14:textId="77777777" w:rsidR="00E771A9" w:rsidRPr="002A7D65" w:rsidRDefault="00E771A9" w:rsidP="000C2595">
            <w:pPr>
              <w:ind w:firstLine="0"/>
            </w:pPr>
            <w:r w:rsidRPr="002A7D65">
              <w:t>8630</w:t>
            </w:r>
          </w:p>
        </w:tc>
        <w:tc>
          <w:tcPr>
            <w:tcW w:w="967" w:type="dxa"/>
            <w:shd w:val="clear" w:color="auto" w:fill="auto"/>
            <w:noWrap/>
            <w:vAlign w:val="bottom"/>
            <w:hideMark/>
          </w:tcPr>
          <w:p w14:paraId="01648CB3" w14:textId="77777777" w:rsidR="00E771A9" w:rsidRPr="002A7D65" w:rsidRDefault="00E771A9" w:rsidP="000C2595">
            <w:pPr>
              <w:ind w:firstLine="0"/>
            </w:pPr>
            <w:r w:rsidRPr="002A7D65">
              <w:t>5</w:t>
            </w:r>
          </w:p>
        </w:tc>
        <w:tc>
          <w:tcPr>
            <w:tcW w:w="5739" w:type="dxa"/>
            <w:shd w:val="clear" w:color="auto" w:fill="auto"/>
            <w:noWrap/>
            <w:vAlign w:val="bottom"/>
            <w:hideMark/>
          </w:tcPr>
          <w:p w14:paraId="09764FA0" w14:textId="77777777" w:rsidR="00E771A9" w:rsidRPr="002A7D65" w:rsidRDefault="00E771A9" w:rsidP="000C2595">
            <w:pPr>
              <w:ind w:firstLine="0"/>
            </w:pPr>
            <w:r w:rsidRPr="002A7D65">
              <w:t>Universitātes ar augstāko zinātnes novērtējumu</w:t>
            </w:r>
          </w:p>
        </w:tc>
      </w:tr>
      <w:tr w:rsidR="00E771A9" w:rsidRPr="002A7D65" w14:paraId="12747E91" w14:textId="77777777" w:rsidTr="000C2595">
        <w:trPr>
          <w:trHeight w:val="300"/>
        </w:trPr>
        <w:tc>
          <w:tcPr>
            <w:tcW w:w="1601" w:type="dxa"/>
            <w:shd w:val="clear" w:color="auto" w:fill="auto"/>
            <w:noWrap/>
            <w:vAlign w:val="bottom"/>
            <w:hideMark/>
          </w:tcPr>
          <w:p w14:paraId="206FF037" w14:textId="77777777" w:rsidR="00E771A9" w:rsidRPr="002A7D65" w:rsidRDefault="00E771A9" w:rsidP="000C2595">
            <w:pPr>
              <w:ind w:firstLine="0"/>
            </w:pPr>
            <w:r w:rsidRPr="002A7D65">
              <w:t>ASV</w:t>
            </w:r>
          </w:p>
        </w:tc>
        <w:tc>
          <w:tcPr>
            <w:tcW w:w="1574" w:type="dxa"/>
            <w:shd w:val="clear" w:color="auto" w:fill="auto"/>
            <w:noWrap/>
            <w:vAlign w:val="bottom"/>
            <w:hideMark/>
          </w:tcPr>
          <w:p w14:paraId="015F392D" w14:textId="77777777" w:rsidR="00E771A9" w:rsidRPr="002A7D65" w:rsidRDefault="00E771A9" w:rsidP="000C2595">
            <w:pPr>
              <w:ind w:firstLine="0"/>
            </w:pPr>
            <w:r w:rsidRPr="002A7D65">
              <w:t>270</w:t>
            </w:r>
          </w:p>
        </w:tc>
        <w:tc>
          <w:tcPr>
            <w:tcW w:w="967" w:type="dxa"/>
            <w:shd w:val="clear" w:color="auto" w:fill="auto"/>
            <w:noWrap/>
            <w:vAlign w:val="bottom"/>
            <w:hideMark/>
          </w:tcPr>
          <w:p w14:paraId="3D211E3F" w14:textId="77777777" w:rsidR="00E771A9" w:rsidRPr="002A7D65" w:rsidRDefault="00E771A9" w:rsidP="000C2595">
            <w:pPr>
              <w:ind w:firstLine="0"/>
            </w:pPr>
            <w:r w:rsidRPr="002A7D65">
              <w:t>Ikgadēji</w:t>
            </w:r>
          </w:p>
        </w:tc>
        <w:tc>
          <w:tcPr>
            <w:tcW w:w="5739" w:type="dxa"/>
            <w:shd w:val="clear" w:color="auto" w:fill="auto"/>
            <w:noWrap/>
            <w:vAlign w:val="bottom"/>
            <w:hideMark/>
          </w:tcPr>
          <w:p w14:paraId="3A921D22" w14:textId="77777777" w:rsidR="00E771A9" w:rsidRPr="002A7D65" w:rsidRDefault="00E771A9" w:rsidP="000C2595">
            <w:pPr>
              <w:ind w:firstLine="0"/>
            </w:pPr>
            <w:r w:rsidRPr="002A7D65">
              <w:t>Publiskā-privātā partnerība, lai stiprinātu dabaszinātņu, inženierzinātņu un medicīnas pētniecību</w:t>
            </w:r>
          </w:p>
        </w:tc>
      </w:tr>
      <w:tr w:rsidR="00E771A9" w:rsidRPr="002A7D65" w14:paraId="63F1C028" w14:textId="77777777" w:rsidTr="000C2595">
        <w:trPr>
          <w:trHeight w:val="300"/>
        </w:trPr>
        <w:tc>
          <w:tcPr>
            <w:tcW w:w="1601" w:type="dxa"/>
            <w:shd w:val="clear" w:color="auto" w:fill="auto"/>
            <w:noWrap/>
            <w:vAlign w:val="bottom"/>
            <w:hideMark/>
          </w:tcPr>
          <w:p w14:paraId="1A2832A8" w14:textId="77777777" w:rsidR="00E771A9" w:rsidRPr="002A7D65" w:rsidRDefault="00E771A9" w:rsidP="000C2595">
            <w:pPr>
              <w:ind w:firstLine="0"/>
            </w:pPr>
            <w:r w:rsidRPr="002A7D65">
              <w:t>ASV</w:t>
            </w:r>
          </w:p>
        </w:tc>
        <w:tc>
          <w:tcPr>
            <w:tcW w:w="1574" w:type="dxa"/>
            <w:shd w:val="clear" w:color="auto" w:fill="auto"/>
            <w:noWrap/>
            <w:vAlign w:val="bottom"/>
            <w:hideMark/>
          </w:tcPr>
          <w:p w14:paraId="132C106E" w14:textId="77777777" w:rsidR="00E771A9" w:rsidRPr="002A7D65" w:rsidRDefault="00E771A9" w:rsidP="000C2595">
            <w:pPr>
              <w:ind w:firstLine="0"/>
            </w:pPr>
            <w:r w:rsidRPr="002A7D65">
              <w:t>1200</w:t>
            </w:r>
          </w:p>
        </w:tc>
        <w:tc>
          <w:tcPr>
            <w:tcW w:w="967" w:type="dxa"/>
            <w:shd w:val="clear" w:color="auto" w:fill="auto"/>
            <w:noWrap/>
            <w:vAlign w:val="bottom"/>
            <w:hideMark/>
          </w:tcPr>
          <w:p w14:paraId="1C7F04AF" w14:textId="77777777" w:rsidR="00E771A9" w:rsidRPr="002A7D65" w:rsidRDefault="00E771A9" w:rsidP="000C2595">
            <w:pPr>
              <w:ind w:firstLine="0"/>
            </w:pPr>
            <w:r w:rsidRPr="002A7D65">
              <w:t>Ikgadēji</w:t>
            </w:r>
          </w:p>
        </w:tc>
        <w:tc>
          <w:tcPr>
            <w:tcW w:w="5739" w:type="dxa"/>
            <w:shd w:val="clear" w:color="auto" w:fill="auto"/>
            <w:noWrap/>
            <w:vAlign w:val="bottom"/>
            <w:hideMark/>
          </w:tcPr>
          <w:p w14:paraId="4FE3744E" w14:textId="77777777" w:rsidR="00E771A9" w:rsidRPr="002A7D65" w:rsidRDefault="00E771A9" w:rsidP="000C2595">
            <w:pPr>
              <w:ind w:firstLine="0"/>
            </w:pPr>
            <w:r w:rsidRPr="002A7D65">
              <w:t xml:space="preserve">Kalifornijas zinātnes un inovāciju </w:t>
            </w:r>
            <w:proofErr w:type="spellStart"/>
            <w:r w:rsidRPr="002A7D65">
              <w:t>insitūtu</w:t>
            </w:r>
            <w:proofErr w:type="spellEnd"/>
            <w:r w:rsidRPr="002A7D65">
              <w:t xml:space="preserve"> izveide </w:t>
            </w:r>
          </w:p>
        </w:tc>
      </w:tr>
      <w:tr w:rsidR="00E771A9" w:rsidRPr="002A7D65" w14:paraId="0F77FA37" w14:textId="77777777" w:rsidTr="000C2595">
        <w:trPr>
          <w:trHeight w:val="300"/>
        </w:trPr>
        <w:tc>
          <w:tcPr>
            <w:tcW w:w="1601" w:type="dxa"/>
            <w:shd w:val="clear" w:color="auto" w:fill="auto"/>
            <w:noWrap/>
            <w:vAlign w:val="bottom"/>
            <w:hideMark/>
          </w:tcPr>
          <w:p w14:paraId="4C65A6FB" w14:textId="77777777" w:rsidR="00E771A9" w:rsidRPr="002A7D65" w:rsidRDefault="00E771A9" w:rsidP="000C2595">
            <w:pPr>
              <w:ind w:firstLine="0"/>
            </w:pPr>
            <w:r w:rsidRPr="002A7D65">
              <w:t>ASV</w:t>
            </w:r>
          </w:p>
        </w:tc>
        <w:tc>
          <w:tcPr>
            <w:tcW w:w="1574" w:type="dxa"/>
            <w:shd w:val="clear" w:color="auto" w:fill="auto"/>
            <w:noWrap/>
            <w:vAlign w:val="bottom"/>
            <w:hideMark/>
          </w:tcPr>
          <w:p w14:paraId="72C3CCF6" w14:textId="77777777" w:rsidR="00E771A9" w:rsidRPr="002A7D65" w:rsidRDefault="00E771A9" w:rsidP="000C2595">
            <w:pPr>
              <w:ind w:firstLine="0"/>
            </w:pPr>
            <w:r w:rsidRPr="002A7D65">
              <w:t>150</w:t>
            </w:r>
          </w:p>
        </w:tc>
        <w:tc>
          <w:tcPr>
            <w:tcW w:w="967" w:type="dxa"/>
            <w:shd w:val="clear" w:color="auto" w:fill="auto"/>
            <w:noWrap/>
            <w:vAlign w:val="bottom"/>
            <w:hideMark/>
          </w:tcPr>
          <w:p w14:paraId="5C9AFB24" w14:textId="77777777" w:rsidR="00E771A9" w:rsidRPr="002A7D65" w:rsidRDefault="00E771A9" w:rsidP="000C2595">
            <w:pPr>
              <w:ind w:firstLine="0"/>
            </w:pPr>
            <w:r w:rsidRPr="002A7D65">
              <w:t>Ikgadēji</w:t>
            </w:r>
          </w:p>
        </w:tc>
        <w:tc>
          <w:tcPr>
            <w:tcW w:w="5739" w:type="dxa"/>
            <w:shd w:val="clear" w:color="auto" w:fill="auto"/>
            <w:noWrap/>
            <w:vAlign w:val="bottom"/>
            <w:hideMark/>
          </w:tcPr>
          <w:p w14:paraId="40A184FF" w14:textId="77777777" w:rsidR="00E771A9" w:rsidRPr="002A7D65" w:rsidRDefault="00E771A9" w:rsidP="000C2595">
            <w:pPr>
              <w:ind w:firstLine="0"/>
            </w:pPr>
            <w:r w:rsidRPr="002A7D65">
              <w:t>Publiskā-privātā partnerība, kas fokusējas uz lokālām vajadzībām</w:t>
            </w:r>
          </w:p>
        </w:tc>
      </w:tr>
      <w:tr w:rsidR="00E771A9" w:rsidRPr="002A7D65" w14:paraId="18F3E3C5" w14:textId="77777777" w:rsidTr="000C2595">
        <w:trPr>
          <w:trHeight w:val="300"/>
        </w:trPr>
        <w:tc>
          <w:tcPr>
            <w:tcW w:w="1601" w:type="dxa"/>
            <w:shd w:val="clear" w:color="auto" w:fill="auto"/>
            <w:noWrap/>
            <w:vAlign w:val="bottom"/>
            <w:hideMark/>
          </w:tcPr>
          <w:p w14:paraId="08C6BFB7" w14:textId="77777777" w:rsidR="00E771A9" w:rsidRPr="002A7D65" w:rsidRDefault="00E771A9" w:rsidP="000C2595">
            <w:pPr>
              <w:ind w:firstLine="0"/>
            </w:pPr>
            <w:r w:rsidRPr="002A7D65">
              <w:lastRenderedPageBreak/>
              <w:t>ASV</w:t>
            </w:r>
          </w:p>
        </w:tc>
        <w:tc>
          <w:tcPr>
            <w:tcW w:w="1574" w:type="dxa"/>
            <w:shd w:val="clear" w:color="auto" w:fill="auto"/>
            <w:noWrap/>
            <w:vAlign w:val="bottom"/>
            <w:hideMark/>
          </w:tcPr>
          <w:p w14:paraId="4BB577A4" w14:textId="77777777" w:rsidR="00E771A9" w:rsidRPr="002A7D65" w:rsidRDefault="00E771A9" w:rsidP="000C2595">
            <w:pPr>
              <w:ind w:firstLine="0"/>
            </w:pPr>
            <w:r w:rsidRPr="002A7D65">
              <w:t>350</w:t>
            </w:r>
          </w:p>
        </w:tc>
        <w:tc>
          <w:tcPr>
            <w:tcW w:w="967" w:type="dxa"/>
            <w:shd w:val="clear" w:color="auto" w:fill="auto"/>
            <w:noWrap/>
            <w:vAlign w:val="bottom"/>
            <w:hideMark/>
          </w:tcPr>
          <w:p w14:paraId="0BBBB635" w14:textId="77777777" w:rsidR="00E771A9" w:rsidRPr="002A7D65" w:rsidRDefault="00E771A9" w:rsidP="000C2595">
            <w:pPr>
              <w:ind w:firstLine="0"/>
            </w:pPr>
            <w:r w:rsidRPr="002A7D65">
              <w:t>10</w:t>
            </w:r>
          </w:p>
        </w:tc>
        <w:tc>
          <w:tcPr>
            <w:tcW w:w="5739" w:type="dxa"/>
            <w:shd w:val="clear" w:color="auto" w:fill="auto"/>
            <w:noWrap/>
            <w:vAlign w:val="bottom"/>
            <w:hideMark/>
          </w:tcPr>
          <w:p w14:paraId="3B49CABF" w14:textId="77777777" w:rsidR="00E771A9" w:rsidRPr="002A7D65" w:rsidRDefault="00E771A9" w:rsidP="000C2595">
            <w:pPr>
              <w:ind w:firstLine="0"/>
            </w:pPr>
            <w:r w:rsidRPr="002A7D65">
              <w:t>Vašingtonas štata dzīvības zinātņu attīstības fonda izveide</w:t>
            </w:r>
          </w:p>
        </w:tc>
      </w:tr>
      <w:tr w:rsidR="00E771A9" w:rsidRPr="002A7D65" w14:paraId="05124D0A" w14:textId="77777777" w:rsidTr="000C2595">
        <w:trPr>
          <w:trHeight w:val="300"/>
        </w:trPr>
        <w:tc>
          <w:tcPr>
            <w:tcW w:w="1601" w:type="dxa"/>
            <w:shd w:val="clear" w:color="auto" w:fill="auto"/>
            <w:noWrap/>
            <w:vAlign w:val="bottom"/>
            <w:hideMark/>
          </w:tcPr>
          <w:p w14:paraId="5F75C2FF" w14:textId="77777777" w:rsidR="00E771A9" w:rsidRPr="002A7D65" w:rsidRDefault="00E771A9" w:rsidP="000C2595">
            <w:pPr>
              <w:ind w:firstLine="0"/>
            </w:pPr>
            <w:r w:rsidRPr="002A7D65">
              <w:t>ASV</w:t>
            </w:r>
          </w:p>
        </w:tc>
        <w:tc>
          <w:tcPr>
            <w:tcW w:w="1574" w:type="dxa"/>
            <w:shd w:val="clear" w:color="auto" w:fill="auto"/>
            <w:noWrap/>
            <w:vAlign w:val="bottom"/>
            <w:hideMark/>
          </w:tcPr>
          <w:p w14:paraId="43C6A6F3" w14:textId="77777777" w:rsidR="00E771A9" w:rsidRPr="002A7D65" w:rsidRDefault="00E771A9" w:rsidP="000C2595">
            <w:pPr>
              <w:ind w:firstLine="0"/>
            </w:pPr>
            <w:r w:rsidRPr="002A7D65">
              <w:t>30</w:t>
            </w:r>
          </w:p>
        </w:tc>
        <w:tc>
          <w:tcPr>
            <w:tcW w:w="967" w:type="dxa"/>
            <w:shd w:val="clear" w:color="auto" w:fill="auto"/>
            <w:noWrap/>
            <w:vAlign w:val="bottom"/>
            <w:hideMark/>
          </w:tcPr>
          <w:p w14:paraId="36FF8AD9" w14:textId="77777777" w:rsidR="00E771A9" w:rsidRPr="002A7D65" w:rsidRDefault="00E771A9" w:rsidP="000C2595">
            <w:pPr>
              <w:ind w:firstLine="0"/>
            </w:pPr>
            <w:r w:rsidRPr="002A7D65">
              <w:t>Ikgadēji</w:t>
            </w:r>
          </w:p>
        </w:tc>
        <w:tc>
          <w:tcPr>
            <w:tcW w:w="5739" w:type="dxa"/>
            <w:shd w:val="clear" w:color="auto" w:fill="auto"/>
            <w:noWrap/>
            <w:vAlign w:val="bottom"/>
            <w:hideMark/>
          </w:tcPr>
          <w:p w14:paraId="047E871E" w14:textId="77777777" w:rsidR="00E771A9" w:rsidRPr="002A7D65" w:rsidRDefault="00E771A9" w:rsidP="000C2595">
            <w:pPr>
              <w:ind w:firstLine="0"/>
            </w:pPr>
            <w:r w:rsidRPr="002A7D65">
              <w:t>Starptautiski izcilu zinātnieku piesaiste Džordžijas universitātēm</w:t>
            </w:r>
          </w:p>
        </w:tc>
      </w:tr>
      <w:tr w:rsidR="00E771A9" w:rsidRPr="002A7D65" w14:paraId="2710C646" w14:textId="77777777" w:rsidTr="000C2595">
        <w:trPr>
          <w:trHeight w:val="300"/>
        </w:trPr>
        <w:tc>
          <w:tcPr>
            <w:tcW w:w="1601" w:type="dxa"/>
            <w:shd w:val="clear" w:color="auto" w:fill="auto"/>
            <w:noWrap/>
            <w:vAlign w:val="bottom"/>
            <w:hideMark/>
          </w:tcPr>
          <w:p w14:paraId="2A222285" w14:textId="77777777" w:rsidR="00E771A9" w:rsidRPr="002A7D65" w:rsidRDefault="00E771A9" w:rsidP="000C2595">
            <w:pPr>
              <w:ind w:firstLine="0"/>
            </w:pPr>
            <w:r w:rsidRPr="002A7D65">
              <w:t>ASV</w:t>
            </w:r>
          </w:p>
        </w:tc>
        <w:tc>
          <w:tcPr>
            <w:tcW w:w="1574" w:type="dxa"/>
            <w:shd w:val="clear" w:color="auto" w:fill="auto"/>
            <w:noWrap/>
            <w:vAlign w:val="bottom"/>
            <w:hideMark/>
          </w:tcPr>
          <w:p w14:paraId="7A931065" w14:textId="77777777" w:rsidR="00E771A9" w:rsidRPr="002A7D65" w:rsidRDefault="00E771A9" w:rsidP="000C2595">
            <w:pPr>
              <w:ind w:firstLine="0"/>
            </w:pPr>
            <w:r w:rsidRPr="002A7D65">
              <w:t>26</w:t>
            </w:r>
          </w:p>
        </w:tc>
        <w:tc>
          <w:tcPr>
            <w:tcW w:w="967" w:type="dxa"/>
            <w:shd w:val="clear" w:color="auto" w:fill="auto"/>
            <w:noWrap/>
            <w:vAlign w:val="bottom"/>
            <w:hideMark/>
          </w:tcPr>
          <w:p w14:paraId="76E8E8DA" w14:textId="77777777" w:rsidR="00E771A9" w:rsidRPr="002A7D65" w:rsidRDefault="00E771A9" w:rsidP="000C2595">
            <w:pPr>
              <w:ind w:firstLine="0"/>
            </w:pPr>
            <w:r w:rsidRPr="002A7D65">
              <w:t>Ikgadēji</w:t>
            </w:r>
          </w:p>
        </w:tc>
        <w:tc>
          <w:tcPr>
            <w:tcW w:w="5739" w:type="dxa"/>
            <w:shd w:val="clear" w:color="auto" w:fill="auto"/>
            <w:noWrap/>
            <w:vAlign w:val="bottom"/>
            <w:hideMark/>
          </w:tcPr>
          <w:p w14:paraId="6039DE44" w14:textId="77777777" w:rsidR="00E771A9" w:rsidRPr="002A7D65" w:rsidRDefault="00E771A9" w:rsidP="000C2595">
            <w:pPr>
              <w:ind w:firstLine="0"/>
            </w:pPr>
            <w:r w:rsidRPr="002A7D65">
              <w:t xml:space="preserve">Akadēmiskā un privātā sektora partnerību atbalsts </w:t>
            </w:r>
          </w:p>
        </w:tc>
      </w:tr>
      <w:tr w:rsidR="00E771A9" w:rsidRPr="002A7D65" w14:paraId="16C7448F" w14:textId="77777777" w:rsidTr="000C2595">
        <w:trPr>
          <w:trHeight w:val="300"/>
        </w:trPr>
        <w:tc>
          <w:tcPr>
            <w:tcW w:w="1601" w:type="dxa"/>
            <w:shd w:val="clear" w:color="auto" w:fill="auto"/>
            <w:noWrap/>
            <w:vAlign w:val="bottom"/>
            <w:hideMark/>
          </w:tcPr>
          <w:p w14:paraId="499330AA" w14:textId="77777777" w:rsidR="00E771A9" w:rsidRPr="002A7D65" w:rsidRDefault="00E771A9" w:rsidP="000C2595">
            <w:pPr>
              <w:ind w:firstLine="0"/>
            </w:pPr>
            <w:r w:rsidRPr="002A7D65">
              <w:t>ASV</w:t>
            </w:r>
          </w:p>
        </w:tc>
        <w:tc>
          <w:tcPr>
            <w:tcW w:w="1574" w:type="dxa"/>
            <w:shd w:val="clear" w:color="auto" w:fill="auto"/>
            <w:noWrap/>
            <w:vAlign w:val="bottom"/>
            <w:hideMark/>
          </w:tcPr>
          <w:p w14:paraId="2EBEBD4E" w14:textId="77777777" w:rsidR="00E771A9" w:rsidRPr="002A7D65" w:rsidRDefault="00E771A9" w:rsidP="000C2595">
            <w:pPr>
              <w:ind w:firstLine="0"/>
            </w:pPr>
            <w:r w:rsidRPr="002A7D65">
              <w:t>350</w:t>
            </w:r>
          </w:p>
        </w:tc>
        <w:tc>
          <w:tcPr>
            <w:tcW w:w="967" w:type="dxa"/>
            <w:shd w:val="clear" w:color="auto" w:fill="auto"/>
            <w:noWrap/>
            <w:vAlign w:val="bottom"/>
            <w:hideMark/>
          </w:tcPr>
          <w:p w14:paraId="6671211D" w14:textId="77777777" w:rsidR="00E771A9" w:rsidRPr="002A7D65" w:rsidRDefault="00E771A9" w:rsidP="000C2595">
            <w:pPr>
              <w:ind w:firstLine="0"/>
            </w:pPr>
            <w:r w:rsidRPr="002A7D65">
              <w:t>Ikgadēji</w:t>
            </w:r>
          </w:p>
        </w:tc>
        <w:tc>
          <w:tcPr>
            <w:tcW w:w="5739" w:type="dxa"/>
            <w:shd w:val="clear" w:color="auto" w:fill="auto"/>
            <w:noWrap/>
            <w:vAlign w:val="bottom"/>
            <w:hideMark/>
          </w:tcPr>
          <w:p w14:paraId="1D105631" w14:textId="77777777" w:rsidR="00E771A9" w:rsidRPr="002A7D65" w:rsidRDefault="00E771A9" w:rsidP="000C2595">
            <w:pPr>
              <w:ind w:firstLine="0"/>
            </w:pPr>
            <w:proofErr w:type="spellStart"/>
            <w:r w:rsidRPr="002A7D65">
              <w:t>Tenūrpozīciju</w:t>
            </w:r>
            <w:proofErr w:type="spellEnd"/>
            <w:r w:rsidRPr="002A7D65">
              <w:t xml:space="preserve"> izveide vadošajiem zinātniekiem </w:t>
            </w:r>
          </w:p>
        </w:tc>
      </w:tr>
      <w:tr w:rsidR="00E771A9" w:rsidRPr="002A7D65" w14:paraId="2E4F4C69" w14:textId="77777777" w:rsidTr="000C2595">
        <w:trPr>
          <w:trHeight w:val="300"/>
        </w:trPr>
        <w:tc>
          <w:tcPr>
            <w:tcW w:w="1601" w:type="dxa"/>
            <w:shd w:val="clear" w:color="auto" w:fill="auto"/>
            <w:noWrap/>
            <w:vAlign w:val="bottom"/>
            <w:hideMark/>
          </w:tcPr>
          <w:p w14:paraId="759DE29C" w14:textId="77777777" w:rsidR="00E771A9" w:rsidRPr="002A7D65" w:rsidRDefault="00E771A9" w:rsidP="000C2595">
            <w:pPr>
              <w:ind w:firstLine="0"/>
            </w:pPr>
            <w:r w:rsidRPr="002A7D65">
              <w:t>ASV</w:t>
            </w:r>
          </w:p>
        </w:tc>
        <w:tc>
          <w:tcPr>
            <w:tcW w:w="1574" w:type="dxa"/>
            <w:shd w:val="clear" w:color="auto" w:fill="auto"/>
            <w:noWrap/>
            <w:vAlign w:val="bottom"/>
            <w:hideMark/>
          </w:tcPr>
          <w:p w14:paraId="450B7182" w14:textId="77777777" w:rsidR="00E771A9" w:rsidRPr="002A7D65" w:rsidRDefault="00E771A9" w:rsidP="000C2595">
            <w:pPr>
              <w:ind w:firstLine="0"/>
            </w:pPr>
            <w:r w:rsidRPr="002A7D65">
              <w:t>1600</w:t>
            </w:r>
          </w:p>
        </w:tc>
        <w:tc>
          <w:tcPr>
            <w:tcW w:w="967" w:type="dxa"/>
            <w:shd w:val="clear" w:color="auto" w:fill="auto"/>
            <w:noWrap/>
            <w:vAlign w:val="bottom"/>
            <w:hideMark/>
          </w:tcPr>
          <w:p w14:paraId="630E655C" w14:textId="77777777" w:rsidR="00E771A9" w:rsidRPr="002A7D65" w:rsidRDefault="00E771A9" w:rsidP="000C2595">
            <w:pPr>
              <w:ind w:firstLine="0"/>
            </w:pPr>
            <w:r w:rsidRPr="002A7D65">
              <w:t>10</w:t>
            </w:r>
          </w:p>
        </w:tc>
        <w:tc>
          <w:tcPr>
            <w:tcW w:w="5739" w:type="dxa"/>
            <w:shd w:val="clear" w:color="auto" w:fill="auto"/>
            <w:noWrap/>
            <w:vAlign w:val="bottom"/>
            <w:hideMark/>
          </w:tcPr>
          <w:p w14:paraId="3A537228" w14:textId="77777777" w:rsidR="00E771A9" w:rsidRPr="002A7D65" w:rsidRDefault="00E771A9" w:rsidP="000C2595">
            <w:pPr>
              <w:ind w:firstLine="0"/>
            </w:pPr>
            <w:r w:rsidRPr="002A7D65">
              <w:t>Inovāciju centru izveide</w:t>
            </w:r>
          </w:p>
        </w:tc>
      </w:tr>
      <w:tr w:rsidR="00E771A9" w:rsidRPr="002A7D65" w14:paraId="1293306C" w14:textId="77777777" w:rsidTr="000C2595">
        <w:trPr>
          <w:trHeight w:val="300"/>
        </w:trPr>
        <w:tc>
          <w:tcPr>
            <w:tcW w:w="1601" w:type="dxa"/>
            <w:shd w:val="clear" w:color="auto" w:fill="auto"/>
            <w:noWrap/>
            <w:vAlign w:val="bottom"/>
            <w:hideMark/>
          </w:tcPr>
          <w:p w14:paraId="333336DB" w14:textId="77777777" w:rsidR="00E771A9" w:rsidRPr="002A7D65" w:rsidRDefault="00E771A9" w:rsidP="000C2595">
            <w:pPr>
              <w:ind w:firstLine="0"/>
            </w:pPr>
            <w:r w:rsidRPr="002A7D65">
              <w:t>ASV</w:t>
            </w:r>
          </w:p>
        </w:tc>
        <w:tc>
          <w:tcPr>
            <w:tcW w:w="1574" w:type="dxa"/>
            <w:shd w:val="clear" w:color="auto" w:fill="auto"/>
            <w:noWrap/>
            <w:vAlign w:val="bottom"/>
            <w:hideMark/>
          </w:tcPr>
          <w:p w14:paraId="4ECC39D0" w14:textId="77777777" w:rsidR="00E771A9" w:rsidRPr="002A7D65" w:rsidRDefault="00E771A9" w:rsidP="000C2595">
            <w:pPr>
              <w:ind w:firstLine="0"/>
            </w:pPr>
            <w:r w:rsidRPr="002A7D65">
              <w:t>29</w:t>
            </w:r>
          </w:p>
        </w:tc>
        <w:tc>
          <w:tcPr>
            <w:tcW w:w="967" w:type="dxa"/>
            <w:shd w:val="clear" w:color="auto" w:fill="auto"/>
            <w:noWrap/>
            <w:vAlign w:val="bottom"/>
            <w:hideMark/>
          </w:tcPr>
          <w:p w14:paraId="0BD2BAA1" w14:textId="77777777" w:rsidR="00E771A9" w:rsidRPr="002A7D65" w:rsidRDefault="00E771A9" w:rsidP="000C2595">
            <w:pPr>
              <w:ind w:firstLine="0"/>
            </w:pPr>
            <w:r w:rsidRPr="002A7D65">
              <w:t>Ikgadēji</w:t>
            </w:r>
          </w:p>
        </w:tc>
        <w:tc>
          <w:tcPr>
            <w:tcW w:w="5739" w:type="dxa"/>
            <w:shd w:val="clear" w:color="auto" w:fill="auto"/>
            <w:noWrap/>
            <w:vAlign w:val="bottom"/>
            <w:hideMark/>
          </w:tcPr>
          <w:p w14:paraId="2E4E72B4" w14:textId="77777777" w:rsidR="00E771A9" w:rsidRPr="002A7D65" w:rsidRDefault="00E771A9" w:rsidP="000C2595">
            <w:pPr>
              <w:ind w:firstLine="0"/>
            </w:pPr>
            <w:r w:rsidRPr="002A7D65">
              <w:t>Nanotehnoloģiju pētniecība</w:t>
            </w:r>
          </w:p>
        </w:tc>
      </w:tr>
    </w:tbl>
    <w:p w14:paraId="33B54839" w14:textId="77777777" w:rsidR="00E771A9" w:rsidRPr="002A7D65" w:rsidRDefault="00E771A9" w:rsidP="00E771A9"/>
    <w:p w14:paraId="4CA073E5" w14:textId="77777777" w:rsidR="00E771A9" w:rsidRPr="002A7D65" w:rsidRDefault="00E771A9" w:rsidP="00E771A9"/>
    <w:p w14:paraId="428AF314" w14:textId="77777777" w:rsidR="00E771A9" w:rsidRPr="002A7D65" w:rsidRDefault="00E771A9" w:rsidP="00491B9A">
      <w:pPr>
        <w:pStyle w:val="Heading4"/>
      </w:pPr>
      <w:r w:rsidRPr="002A7D65">
        <w:t xml:space="preserve">Somija – </w:t>
      </w:r>
      <w:proofErr w:type="spellStart"/>
      <w:r w:rsidRPr="002A7D65">
        <w:t>Aalto</w:t>
      </w:r>
      <w:proofErr w:type="spellEnd"/>
      <w:r w:rsidRPr="002A7D65">
        <w:t xml:space="preserve"> Universitātes Izveide</w:t>
      </w:r>
    </w:p>
    <w:p w14:paraId="679C2CC4" w14:textId="77777777" w:rsidR="00E771A9" w:rsidRPr="002A7D65" w:rsidRDefault="00E771A9" w:rsidP="00E771A9">
      <w:r w:rsidRPr="002A7D65">
        <w:t xml:space="preserve">Kā viens no slavenākajiem piemēriem, kad tika izveidota pasaules līmeņa universitāte caur vairāku iestāžu apvienošanu ir </w:t>
      </w:r>
      <w:proofErr w:type="spellStart"/>
      <w:r w:rsidRPr="002A7D65">
        <w:t>Aalto</w:t>
      </w:r>
      <w:proofErr w:type="spellEnd"/>
      <w:r w:rsidRPr="002A7D65">
        <w:t xml:space="preserve"> Universitāte. </w:t>
      </w:r>
      <w:proofErr w:type="spellStart"/>
      <w:r w:rsidRPr="002A7D65">
        <w:t>Aalto</w:t>
      </w:r>
      <w:proofErr w:type="spellEnd"/>
      <w:r w:rsidRPr="002A7D65">
        <w:t xml:space="preserve"> Universitāte tika izveidota 2010. gadā, apvienojoties Helsinku Tehnoloģijas universitātei, Helsinku Ekonomikas skolai un Somijas Mākslas un dizaina universitātei. Jaunizveidotās universitātes mērķis bija veidot starpdisciplināru studiju saturu un virzīties uz pasaulē atzītu izcilību.</w:t>
      </w:r>
    </w:p>
    <w:p w14:paraId="6D6E479F" w14:textId="77777777" w:rsidR="00E771A9" w:rsidRPr="002A7D65" w:rsidRDefault="00E771A9" w:rsidP="00E771A9">
      <w:r w:rsidRPr="002A7D65">
        <w:t xml:space="preserve">Ideju par apvienošanos izteica 2005. gadā Mākslas un dizaina universitātes rektors, pēc kā tā guva plašu atbalstu Somijas uzņēmēju starpā. 2006. gadā Somijas valdība veica pētījumu par apvienošanās iespēju, kas tika publicēts 2007. gadā un kas pamatoja nepieciešamību apvienot trīs augstākās izglītības iestādes un aprakstīja plānu, kā to veikt. </w:t>
      </w:r>
      <w:r w:rsidRPr="002A7D65">
        <w:rPr>
          <w:b/>
          <w:bCs/>
        </w:rPr>
        <w:t>No 2007. līdz 2008. gadam valdība izveidoja jaunas universitātes fondu,</w:t>
      </w:r>
      <w:r w:rsidRPr="002A7D65">
        <w:t xml:space="preserve"> kā arī noteica jaunās iestādes nosaukumu. 2008. gadā tika arī paziņots jaunās iestādes pirmais rektors. 2010. gadā tika izveidota </w:t>
      </w:r>
      <w:proofErr w:type="spellStart"/>
      <w:r w:rsidRPr="002A7D65">
        <w:t>Aalto</w:t>
      </w:r>
      <w:proofErr w:type="spellEnd"/>
      <w:r w:rsidRPr="002A7D65">
        <w:t xml:space="preserve"> Universitāte, kas kļuva par otro lielāko universitāti Somijā ar 17000 studējošajiem</w:t>
      </w:r>
      <w:r w:rsidRPr="002A7D65">
        <w:rPr>
          <w:rStyle w:val="FootnoteReference"/>
        </w:rPr>
        <w:footnoteReference w:id="66"/>
      </w:r>
      <w:r w:rsidRPr="002A7D65">
        <w:t>.</w:t>
      </w:r>
    </w:p>
    <w:p w14:paraId="3ABE9899" w14:textId="22ECEE8B" w:rsidR="00E771A9" w:rsidRPr="002A7D65" w:rsidRDefault="00E771A9" w:rsidP="00E771A9">
      <w:r w:rsidRPr="002A7D65">
        <w:t xml:space="preserve">Lai stimulētu iestāžu vēlmi apvienoties un arī nodrošinātu pietiekamu resursu apmēru jaunajai iestādei, lai tā varētu sasniegt izcilību, valdība piekrita piešķirt papildus 500 miljonus </w:t>
      </w:r>
      <w:r w:rsidR="001673CC" w:rsidRPr="001673CC">
        <w:rPr>
          <w:i/>
          <w:iCs/>
        </w:rPr>
        <w:t xml:space="preserve">euro </w:t>
      </w:r>
      <w:r w:rsidRPr="002A7D65">
        <w:t xml:space="preserve">universitātes fondam ar nosacījumu, ka arī Somijas privātais sektors ieguldītu vismaz 200 </w:t>
      </w:r>
      <w:r w:rsidRPr="002A7D65">
        <w:lastRenderedPageBreak/>
        <w:t xml:space="preserve">miljonus </w:t>
      </w:r>
      <w:r w:rsidR="001673CC">
        <w:rPr>
          <w:i/>
          <w:iCs/>
        </w:rPr>
        <w:t>euro</w:t>
      </w:r>
      <w:r w:rsidR="001673CC" w:rsidRPr="002A7D65">
        <w:rPr>
          <w:rStyle w:val="FootnoteReference"/>
        </w:rPr>
        <w:t xml:space="preserve"> </w:t>
      </w:r>
      <w:r w:rsidRPr="002A7D65">
        <w:rPr>
          <w:rStyle w:val="FootnoteReference"/>
        </w:rPr>
        <w:footnoteReference w:id="67"/>
      </w:r>
      <w:r w:rsidRPr="002A7D65">
        <w:t>.  Tāpat arī valdība piekrita piešķirt papildu finansējumu katru gadu iestādes pirmajos gados, lai sniegtu tai finansiālu stabilitāti un augsni izaugsmei.</w:t>
      </w:r>
    </w:p>
    <w:p w14:paraId="3CF0E68C" w14:textId="77777777" w:rsidR="00E771A9" w:rsidRPr="002A7D65" w:rsidRDefault="00E771A9" w:rsidP="00E771A9">
      <w:r w:rsidRPr="002A7D65">
        <w:t xml:space="preserve">Lai stiprinātu jaunās universitātes stratēģiskās un organizatoriskās spējas, vairākus gadus pirms apvienošanas tika veidotas darba grupas, kas iesaistīja iekšējās iesaistītās puses un pārrunāja jaunās iestādes potenciālos rīcības un specializācijas virzienus. Tāpat arī tika būtiski ieguldīts jaunās universitātes zīmolā kā pasaules līmeņa universitātē, kas veicinās Somijas ekonomisko izrāvienu. Tāpat arī, lai piesaistītu labākos pasniedzējus un pētniekus, tika ieviests jauns akadēmiskās karjeras modelis universitātē, tostarp ieviešot </w:t>
      </w:r>
      <w:proofErr w:type="spellStart"/>
      <w:r w:rsidRPr="002A7D65">
        <w:t>tenūru</w:t>
      </w:r>
      <w:proofErr w:type="spellEnd"/>
      <w:r w:rsidRPr="002A7D65">
        <w:t>.</w:t>
      </w:r>
    </w:p>
    <w:p w14:paraId="00C94ED9" w14:textId="77777777" w:rsidR="00E771A9" w:rsidRPr="002A7D65" w:rsidRDefault="00E771A9" w:rsidP="00E771A9">
      <w:proofErr w:type="spellStart"/>
      <w:r w:rsidRPr="002A7D65">
        <w:t>Aalto</w:t>
      </w:r>
      <w:proofErr w:type="spellEnd"/>
      <w:r w:rsidRPr="002A7D65">
        <w:t xml:space="preserve"> Universitāte ir novērtēta kā 401.-500. labākā universitāte pasaulē pēc </w:t>
      </w:r>
      <w:proofErr w:type="spellStart"/>
      <w:r w:rsidRPr="002A7D65">
        <w:t>Šanghajas</w:t>
      </w:r>
      <w:proofErr w:type="spellEnd"/>
      <w:r w:rsidRPr="002A7D65">
        <w:t xml:space="preserve"> reitinga</w:t>
      </w:r>
      <w:r w:rsidRPr="002A7D65">
        <w:rPr>
          <w:rStyle w:val="FootnoteReference"/>
        </w:rPr>
        <w:footnoteReference w:id="68"/>
      </w:r>
      <w:r w:rsidRPr="002A7D65">
        <w:t xml:space="preserve">, 201.-250. pēc </w:t>
      </w:r>
      <w:proofErr w:type="spellStart"/>
      <w:r w:rsidRPr="002A7D65">
        <w:t>Times</w:t>
      </w:r>
      <w:proofErr w:type="spellEnd"/>
      <w:r w:rsidRPr="002A7D65">
        <w:t xml:space="preserve"> </w:t>
      </w:r>
      <w:proofErr w:type="spellStart"/>
      <w:r w:rsidRPr="002A7D65">
        <w:t>Higher</w:t>
      </w:r>
      <w:proofErr w:type="spellEnd"/>
      <w:r w:rsidRPr="002A7D65">
        <w:t xml:space="preserve"> </w:t>
      </w:r>
      <w:proofErr w:type="spellStart"/>
      <w:r w:rsidRPr="002A7D65">
        <w:t>Education</w:t>
      </w:r>
      <w:proofErr w:type="spellEnd"/>
      <w:r w:rsidRPr="002A7D65">
        <w:t xml:space="preserve"> reitinga</w:t>
      </w:r>
      <w:r w:rsidRPr="002A7D65">
        <w:rPr>
          <w:rStyle w:val="FootnoteReference"/>
        </w:rPr>
        <w:footnoteReference w:id="69"/>
      </w:r>
      <w:r w:rsidRPr="002A7D65">
        <w:t xml:space="preserve"> un 112. pasaulē pēc QS reitinga</w:t>
      </w:r>
      <w:r w:rsidRPr="002A7D65">
        <w:rPr>
          <w:rStyle w:val="FootnoteReference"/>
        </w:rPr>
        <w:footnoteReference w:id="70"/>
      </w:r>
      <w:r w:rsidRPr="002A7D65">
        <w:t xml:space="preserve">. </w:t>
      </w:r>
      <w:proofErr w:type="spellStart"/>
      <w:r w:rsidRPr="002A7D65">
        <w:t>Šanghajas</w:t>
      </w:r>
      <w:proofErr w:type="spellEnd"/>
      <w:r w:rsidRPr="002A7D65">
        <w:t xml:space="preserve"> reitings galvenokārt balstās zinātniskajos sasniegumos, bet QS reitings kā lielāku komponenti ņem reputāciju. </w:t>
      </w:r>
      <w:proofErr w:type="spellStart"/>
      <w:r w:rsidRPr="002A7D65">
        <w:t>Times</w:t>
      </w:r>
      <w:proofErr w:type="spellEnd"/>
      <w:r w:rsidRPr="002A7D65">
        <w:t xml:space="preserve"> </w:t>
      </w:r>
      <w:proofErr w:type="spellStart"/>
      <w:r w:rsidRPr="002A7D65">
        <w:t>Higher</w:t>
      </w:r>
      <w:proofErr w:type="spellEnd"/>
      <w:r w:rsidRPr="002A7D65">
        <w:t xml:space="preserve"> </w:t>
      </w:r>
      <w:proofErr w:type="spellStart"/>
      <w:r w:rsidRPr="002A7D65">
        <w:t>Education</w:t>
      </w:r>
      <w:proofErr w:type="spellEnd"/>
      <w:r w:rsidRPr="002A7D65">
        <w:t xml:space="preserve"> reitings vienlīdz vērtē gan zinātni, gan reputāciju.</w:t>
      </w:r>
    </w:p>
    <w:p w14:paraId="45E280F8" w14:textId="77777777" w:rsidR="00E771A9" w:rsidRPr="002A7D65" w:rsidRDefault="00E771A9" w:rsidP="00E771A9"/>
    <w:p w14:paraId="1D7A9565" w14:textId="77777777" w:rsidR="00E771A9" w:rsidRPr="002A7D65" w:rsidRDefault="00E771A9" w:rsidP="00491B9A">
      <w:pPr>
        <w:pStyle w:val="Heading4"/>
      </w:pPr>
      <w:r w:rsidRPr="002A7D65">
        <w:t>Vācija – Izcilības stratēģija</w:t>
      </w:r>
    </w:p>
    <w:p w14:paraId="02C206D5" w14:textId="5C437E51" w:rsidR="00E771A9" w:rsidRPr="002A7D65" w:rsidRDefault="00E771A9" w:rsidP="00E771A9">
      <w:r w:rsidRPr="002A7D65">
        <w:t xml:space="preserve">2016. gadā Vācija izveidoja universitāšu izcilības stratēģiju, kas balstītos augsta līmeņa universitāšu pētniecībā. Kopumā šai izcilības stratēģijai tika piešķirts 533 miljonu </w:t>
      </w:r>
      <w:r w:rsidR="001673CC">
        <w:rPr>
          <w:i/>
          <w:iCs/>
        </w:rPr>
        <w:t>euro</w:t>
      </w:r>
      <w:r w:rsidRPr="002A7D65">
        <w:t xml:space="preserve">, kas tika sadalīts divās dažādās kategorijās – atbalstot izcilības </w:t>
      </w:r>
      <w:proofErr w:type="spellStart"/>
      <w:r w:rsidRPr="002A7D65">
        <w:t>klāsterus</w:t>
      </w:r>
      <w:proofErr w:type="spellEnd"/>
      <w:r w:rsidRPr="002A7D65">
        <w:t xml:space="preserve"> un izcilības universitātes.</w:t>
      </w:r>
    </w:p>
    <w:p w14:paraId="688CC343" w14:textId="10046BDD" w:rsidR="00E771A9" w:rsidRPr="002A7D65" w:rsidRDefault="00E771A9" w:rsidP="00E771A9">
      <w:r w:rsidRPr="002A7D65">
        <w:t xml:space="preserve">Izcilības </w:t>
      </w:r>
      <w:proofErr w:type="spellStart"/>
      <w:r w:rsidRPr="002A7D65">
        <w:t>klāsteru</w:t>
      </w:r>
      <w:proofErr w:type="spellEnd"/>
      <w:r w:rsidRPr="002A7D65">
        <w:t xml:space="preserve"> ietvaros 385 miljonu </w:t>
      </w:r>
      <w:r w:rsidR="001673CC" w:rsidRPr="001673CC">
        <w:rPr>
          <w:i/>
          <w:iCs/>
        </w:rPr>
        <w:t xml:space="preserve">euro </w:t>
      </w:r>
      <w:r w:rsidRPr="002A7D65">
        <w:t xml:space="preserve">tika piešķirti </w:t>
      </w:r>
      <w:r w:rsidRPr="002A7D65">
        <w:rPr>
          <w:b/>
        </w:rPr>
        <w:t>projektu veidā universitātēm un universitāšu konsorcijiem, lai stiprinātu to zinātnisko kapacitāti noteiktās jomās.</w:t>
      </w:r>
      <w:r w:rsidRPr="002A7D65">
        <w:t xml:space="preserve"> Par šo summu ir paredzēts sniegt finansējumu 45 līdz 50 izcilības </w:t>
      </w:r>
      <w:proofErr w:type="spellStart"/>
      <w:r w:rsidRPr="002A7D65">
        <w:t>klāsteru</w:t>
      </w:r>
      <w:proofErr w:type="spellEnd"/>
      <w:r w:rsidRPr="002A7D65">
        <w:t xml:space="preserve"> projektiem. </w:t>
      </w:r>
    </w:p>
    <w:p w14:paraId="7B2BCFC8" w14:textId="70BF8DBC" w:rsidR="00E771A9" w:rsidRPr="002A7D65" w:rsidRDefault="00E771A9" w:rsidP="00E771A9">
      <w:r w:rsidRPr="002A7D65">
        <w:t xml:space="preserve">Savukārt izcilības universitāšu ietvaros tika piešķirts 148 miljoni </w:t>
      </w:r>
      <w:r w:rsidR="001673CC">
        <w:rPr>
          <w:i/>
          <w:iCs/>
        </w:rPr>
        <w:t>euro</w:t>
      </w:r>
      <w:r w:rsidRPr="002A7D65">
        <w:t>, lai atbalstītu 11 dažādas iestādes vai to konsorcijus.</w:t>
      </w:r>
      <w:r w:rsidRPr="002A7D65">
        <w:rPr>
          <w:rStyle w:val="FootnoteReference"/>
        </w:rPr>
        <w:footnoteReference w:id="71"/>
      </w:r>
      <w:r w:rsidRPr="002A7D65">
        <w:t xml:space="preserve"> Konkursa kārtā tika izraudzītas 10 universitātes un viens konsorcijs, kas ieguva izcilības universitātes statusu un finansējumu</w:t>
      </w:r>
      <w:r w:rsidRPr="002A7D65">
        <w:rPr>
          <w:rStyle w:val="FootnoteReference"/>
        </w:rPr>
        <w:footnoteReference w:id="72"/>
      </w:r>
      <w:r w:rsidRPr="002A7D65">
        <w:t>. Šīs iestādes sāka saņemt finansējumu 2019. gadā.</w:t>
      </w:r>
    </w:p>
    <w:p w14:paraId="5ACF38D2" w14:textId="66E87A4C" w:rsidR="00E771A9" w:rsidRPr="002A7D65" w:rsidRDefault="00E771A9" w:rsidP="00E771A9">
      <w:r w:rsidRPr="002A7D65">
        <w:lastRenderedPageBreak/>
        <w:t xml:space="preserve">Pirms Vācijas Izcilības stratēģijas tā laika periodā no 2007. līdz 2017. gadam īstenoja Izcilības iniciatīvu, kā mērķis bija veicināt pasaules līmeņa universitāšu izveidi. Sākuma plāns bija īstenot iniciatīvu līdz 2012. gadam, un tai tika piešķirts 1,9 miljardi </w:t>
      </w:r>
      <w:r w:rsidR="001673CC">
        <w:rPr>
          <w:i/>
          <w:iCs/>
        </w:rPr>
        <w:t>euro</w:t>
      </w:r>
      <w:r w:rsidRPr="002A7D65">
        <w:t xml:space="preserve">, bet vēlāk tika izlemts pagarināt to pa pieciem gadiem līdz 2017. gadam un piešķirt vēl papildu 2,7 miljardu </w:t>
      </w:r>
      <w:r w:rsidR="001673CC">
        <w:rPr>
          <w:i/>
          <w:iCs/>
        </w:rPr>
        <w:t>euro</w:t>
      </w:r>
      <w:r w:rsidRPr="002A7D65">
        <w:t>.</w:t>
      </w:r>
      <w:r w:rsidRPr="002A7D65">
        <w:rPr>
          <w:rStyle w:val="FootnoteReference"/>
        </w:rPr>
        <w:footnoteReference w:id="73"/>
      </w:r>
      <w:r w:rsidRPr="002A7D65">
        <w:t xml:space="preserve">  </w:t>
      </w:r>
    </w:p>
    <w:p w14:paraId="5AC3B238" w14:textId="77777777" w:rsidR="00E771A9" w:rsidRDefault="00E771A9" w:rsidP="00E771A9">
      <w:r w:rsidRPr="002A7D65">
        <w:t>Izcilības iniciatīvas rezultātā Vācijas universitāšu sistēma tika padarīta dinamiskāka un starptautiski konkurētspējīgāka, jo veicināja iestāžu stratēģisko specializāciju</w:t>
      </w:r>
      <w:r w:rsidRPr="002A7D65">
        <w:rPr>
          <w:rStyle w:val="FootnoteReference"/>
        </w:rPr>
        <w:footnoteReference w:id="74"/>
      </w:r>
      <w:r w:rsidRPr="002A7D65">
        <w:t xml:space="preserve">. Tāpat arī šī iniciatīva pozitīvi darbojās uz visu Vācijas augstākās izglītības sektoru, ne tikai iestādēm, kas ieguva papildu finansējumu. No otras puses, kā negatīva iezīme Izcilības iniciatīvai bija tas, ka tā veicināja pasniedzēju publicēšanos, bet samazināja publikāciju kvalitāti, to mērot caur to </w:t>
      </w:r>
      <w:proofErr w:type="spellStart"/>
      <w:r w:rsidRPr="002A7D65">
        <w:t>citējamību</w:t>
      </w:r>
      <w:proofErr w:type="spellEnd"/>
      <w:r w:rsidRPr="002A7D65">
        <w:rPr>
          <w:rStyle w:val="FootnoteReference"/>
        </w:rPr>
        <w:footnoteReference w:id="75"/>
      </w:r>
      <w:r w:rsidRPr="002A7D65">
        <w:t>.</w:t>
      </w:r>
    </w:p>
    <w:p w14:paraId="515FD2F5" w14:textId="77777777" w:rsidR="00763C03" w:rsidRDefault="00763C03" w:rsidP="00E771A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58"/>
      </w:tblGrid>
      <w:tr w:rsidR="00763C03" w:rsidRPr="00763C03" w14:paraId="0592A71B" w14:textId="77777777" w:rsidTr="00763C03">
        <w:tc>
          <w:tcPr>
            <w:tcW w:w="12758" w:type="dxa"/>
          </w:tcPr>
          <w:p w14:paraId="44965ABA" w14:textId="77777777" w:rsidR="00763C03" w:rsidRPr="00763C03" w:rsidRDefault="00763C03" w:rsidP="00763C03">
            <w:pPr>
              <w:tabs>
                <w:tab w:val="left" w:pos="5812"/>
              </w:tabs>
              <w:rPr>
                <w:rFonts w:ascii="Times New Roman" w:eastAsia="Times New Roman" w:hAnsi="Times New Roman" w:cs="Times New Roman"/>
                <w:sz w:val="28"/>
                <w:szCs w:val="28"/>
                <w:lang w:eastAsia="en-GB"/>
              </w:rPr>
            </w:pPr>
          </w:p>
          <w:tbl>
            <w:tblPr>
              <w:tblStyle w:val="TableGrid"/>
              <w:tblW w:w="100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4"/>
              <w:gridCol w:w="2321"/>
              <w:gridCol w:w="4472"/>
            </w:tblGrid>
            <w:tr w:rsidR="00763C03" w:rsidRPr="00763C03" w14:paraId="7E481159" w14:textId="77777777" w:rsidTr="00763C03">
              <w:tc>
                <w:tcPr>
                  <w:tcW w:w="3207" w:type="dxa"/>
                </w:tcPr>
                <w:p w14:paraId="572378F8" w14:textId="77777777" w:rsidR="00763C03" w:rsidRPr="00763C03" w:rsidRDefault="00763C03" w:rsidP="00763C03">
                  <w:pPr>
                    <w:tabs>
                      <w:tab w:val="left" w:pos="5812"/>
                    </w:tabs>
                    <w:overflowPunct w:val="0"/>
                    <w:autoSpaceDE w:val="0"/>
                    <w:autoSpaceDN w:val="0"/>
                    <w:adjustRightInd w:val="0"/>
                    <w:textAlignment w:val="baseline"/>
                    <w:rPr>
                      <w:rFonts w:ascii="Times New Roman" w:eastAsia="Times New Roman" w:hAnsi="Times New Roman" w:cs="Times New Roman"/>
                      <w:sz w:val="28"/>
                      <w:szCs w:val="28"/>
                      <w:lang w:eastAsia="zh-CN"/>
                    </w:rPr>
                  </w:pPr>
                  <w:r w:rsidRPr="00763C03">
                    <w:rPr>
                      <w:rFonts w:ascii="Times New Roman" w:eastAsia="Times New Roman" w:hAnsi="Times New Roman" w:cs="Times New Roman"/>
                      <w:sz w:val="28"/>
                      <w:szCs w:val="28"/>
                      <w:lang w:eastAsia="zh-CN"/>
                    </w:rPr>
                    <w:t>Izglītības un zinātnes ministre</w:t>
                  </w:r>
                </w:p>
              </w:tc>
              <w:tc>
                <w:tcPr>
                  <w:tcW w:w="2255" w:type="dxa"/>
                </w:tcPr>
                <w:p w14:paraId="06E4B56A" w14:textId="77777777" w:rsidR="00763C03" w:rsidRPr="00763C03" w:rsidRDefault="00763C03" w:rsidP="00763C03">
                  <w:pPr>
                    <w:tabs>
                      <w:tab w:val="left" w:pos="5812"/>
                    </w:tabs>
                    <w:overflowPunct w:val="0"/>
                    <w:autoSpaceDE w:val="0"/>
                    <w:autoSpaceDN w:val="0"/>
                    <w:adjustRightInd w:val="0"/>
                    <w:jc w:val="center"/>
                    <w:textAlignment w:val="baseline"/>
                    <w:rPr>
                      <w:rFonts w:ascii="Times New Roman" w:eastAsia="Times New Roman" w:hAnsi="Times New Roman" w:cs="Times New Roman"/>
                      <w:sz w:val="28"/>
                      <w:szCs w:val="28"/>
                      <w:lang w:eastAsia="zh-CN"/>
                    </w:rPr>
                  </w:pPr>
                  <w:r w:rsidRPr="00763C03">
                    <w:rPr>
                      <w:rFonts w:ascii="Times New Roman" w:eastAsia="Times New Roman" w:hAnsi="Times New Roman" w:cs="Times New Roman"/>
                      <w:sz w:val="28"/>
                      <w:szCs w:val="28"/>
                      <w:lang w:eastAsia="zh-CN"/>
                    </w:rPr>
                    <w:t>(paraksts**)</w:t>
                  </w:r>
                </w:p>
              </w:tc>
              <w:tc>
                <w:tcPr>
                  <w:tcW w:w="4635" w:type="dxa"/>
                </w:tcPr>
                <w:p w14:paraId="0F104587" w14:textId="77777777" w:rsidR="00763C03" w:rsidRPr="00763C03" w:rsidRDefault="00763C03" w:rsidP="00763C03">
                  <w:pPr>
                    <w:tabs>
                      <w:tab w:val="left" w:pos="5812"/>
                    </w:tabs>
                    <w:overflowPunct w:val="0"/>
                    <w:autoSpaceDE w:val="0"/>
                    <w:autoSpaceDN w:val="0"/>
                    <w:adjustRightInd w:val="0"/>
                    <w:textAlignment w:val="baseline"/>
                    <w:rPr>
                      <w:rFonts w:ascii="Times New Roman" w:eastAsia="Times New Roman" w:hAnsi="Times New Roman" w:cs="Times New Roman"/>
                      <w:sz w:val="28"/>
                      <w:szCs w:val="28"/>
                      <w:lang w:eastAsia="en-GB"/>
                    </w:rPr>
                  </w:pPr>
                  <w:r w:rsidRPr="00763C03">
                    <w:rPr>
                      <w:rFonts w:ascii="Times New Roman" w:eastAsia="Times New Roman" w:hAnsi="Times New Roman" w:cs="Times New Roman"/>
                      <w:noProof/>
                      <w:sz w:val="28"/>
                      <w:szCs w:val="28"/>
                      <w:lang w:eastAsia="en-GB"/>
                    </w:rPr>
                    <w:t>A. Čakša</w:t>
                  </w:r>
                </w:p>
              </w:tc>
            </w:tr>
          </w:tbl>
          <w:p w14:paraId="2DCE8436" w14:textId="77777777" w:rsidR="00763C03" w:rsidRPr="00763C03" w:rsidRDefault="00763C03" w:rsidP="00763C03">
            <w:pPr>
              <w:tabs>
                <w:tab w:val="left" w:pos="5812"/>
              </w:tabs>
              <w:rPr>
                <w:rFonts w:ascii="Times New Roman" w:eastAsia="Times New Roman" w:hAnsi="Times New Roman" w:cs="Times New Roman"/>
                <w:sz w:val="28"/>
                <w:szCs w:val="28"/>
                <w:lang w:eastAsia="en-GB"/>
              </w:rPr>
            </w:pPr>
          </w:p>
          <w:p w14:paraId="66B2CF47" w14:textId="77777777" w:rsidR="00763C03" w:rsidRPr="00763C03" w:rsidRDefault="00763C03" w:rsidP="00763C03">
            <w:pPr>
              <w:tabs>
                <w:tab w:val="left" w:pos="5812"/>
              </w:tabs>
              <w:rPr>
                <w:rFonts w:ascii="Times New Roman" w:eastAsia="Times New Roman" w:hAnsi="Times New Roman" w:cs="Times New Roman"/>
                <w:sz w:val="28"/>
                <w:szCs w:val="28"/>
                <w:lang w:eastAsia="en-GB"/>
              </w:rPr>
            </w:pPr>
          </w:p>
          <w:p w14:paraId="74C6B174" w14:textId="77777777" w:rsidR="00763C03" w:rsidRPr="00763C03" w:rsidRDefault="00763C03" w:rsidP="00763C03">
            <w:pPr>
              <w:tabs>
                <w:tab w:val="left" w:pos="5812"/>
              </w:tabs>
              <w:rPr>
                <w:rFonts w:ascii="Times New Roman" w:eastAsia="Times New Roman" w:hAnsi="Times New Roman" w:cs="Times New Roman"/>
                <w:lang w:eastAsia="en-GB"/>
              </w:rPr>
            </w:pPr>
            <w:r w:rsidRPr="00763C03">
              <w:rPr>
                <w:rFonts w:ascii="Times New Roman" w:eastAsia="Times New Roman" w:hAnsi="Times New Roman" w:cs="Times New Roman"/>
                <w:lang w:eastAsia="zh-CN"/>
              </w:rPr>
              <w:t>** Dokuments ir parakstīts ar TAP portāla elektroniskās parakstīšanas rīku</w:t>
            </w:r>
          </w:p>
        </w:tc>
      </w:tr>
    </w:tbl>
    <w:p w14:paraId="2AE23EF7" w14:textId="77777777" w:rsidR="00763C03" w:rsidRPr="002A7D65" w:rsidRDefault="00763C03" w:rsidP="00E771A9"/>
    <w:sectPr w:rsidR="00763C03" w:rsidRPr="002A7D65" w:rsidSect="00063F2E">
      <w:headerReference w:type="default" r:id="rId32"/>
      <w:footerReference w:type="default" r:id="rId33"/>
      <w:footerReference w:type="first" r:id="rId34"/>
      <w:pgSz w:w="16838" w:h="11906" w:orient="landscape"/>
      <w:pgMar w:top="1418" w:right="1417" w:bottom="1558"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CC9281" w14:textId="77777777" w:rsidR="00491FC0" w:rsidRPr="002A7D65" w:rsidRDefault="00491FC0" w:rsidP="00B80382">
      <w:pPr>
        <w:spacing w:line="240" w:lineRule="auto"/>
      </w:pPr>
      <w:r w:rsidRPr="002A7D65">
        <w:separator/>
      </w:r>
    </w:p>
  </w:endnote>
  <w:endnote w:type="continuationSeparator" w:id="0">
    <w:p w14:paraId="371A0941" w14:textId="77777777" w:rsidR="00491FC0" w:rsidRPr="002A7D65" w:rsidRDefault="00491FC0" w:rsidP="00B80382">
      <w:pPr>
        <w:spacing w:line="240" w:lineRule="auto"/>
      </w:pPr>
      <w:r w:rsidRPr="002A7D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ahnschrift SemiCondensed">
    <w:panose1 w:val="020B0502040204020203"/>
    <w:charset w:val="BA"/>
    <w:family w:val="swiss"/>
    <w:pitch w:val="variable"/>
    <w:sig w:usb0="A00002C7" w:usb1="00000002" w:usb2="00000000" w:usb3="00000000" w:csb0="0000019F" w:csb1="00000000"/>
  </w:font>
  <w:font w:name="Tahoma">
    <w:panose1 w:val="020B0604030504040204"/>
    <w:charset w:val="BA"/>
    <w:family w:val="swiss"/>
    <w:pitch w:val="variable"/>
    <w:sig w:usb0="E1002EFF" w:usb1="C000605B" w:usb2="00000029" w:usb3="00000000" w:csb0="000101FF" w:csb1="00000000"/>
  </w:font>
  <w:font w:name="Bahnschrift Light">
    <w:panose1 w:val="020B0502040204020203"/>
    <w:charset w:val="BA"/>
    <w:family w:val="swiss"/>
    <w:pitch w:val="variable"/>
    <w:sig w:usb0="A00002C7" w:usb1="00000002" w:usb2="00000000" w:usb3="00000000" w:csb0="0000019F" w:csb1="00000000"/>
  </w:font>
  <w:font w:name="Verdana">
    <w:panose1 w:val="020B0604030504040204"/>
    <w:charset w:val="BA"/>
    <w:family w:val="swiss"/>
    <w:pitch w:val="variable"/>
    <w:sig w:usb0="A00006FF" w:usb1="4000205B" w:usb2="00000010" w:usb3="00000000" w:csb0="0000019F" w:csb1="00000000"/>
  </w:font>
  <w:font w:name="Arial Nova Cond">
    <w:panose1 w:val="020B0506020202020204"/>
    <w:charset w:val="BA"/>
    <w:family w:val="swiss"/>
    <w:pitch w:val="variable"/>
    <w:sig w:usb0="2000028F" w:usb1="00000002" w:usb2="00000000" w:usb3="00000000" w:csb0="0000019F" w:csb1="00000000"/>
  </w:font>
  <w:font w:name="MarkPro">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6856564"/>
      <w:docPartObj>
        <w:docPartGallery w:val="Page Numbers (Bottom of Page)"/>
        <w:docPartUnique/>
      </w:docPartObj>
    </w:sdtPr>
    <w:sdtEndPr/>
    <w:sdtContent>
      <w:p w14:paraId="03630B4D" w14:textId="77777777" w:rsidR="00E771A9" w:rsidRPr="002A7D65" w:rsidRDefault="00E771A9">
        <w:pPr>
          <w:pStyle w:val="Footer"/>
          <w:jc w:val="right"/>
        </w:pPr>
        <w:r w:rsidRPr="002A7D65">
          <w:fldChar w:fldCharType="begin"/>
        </w:r>
        <w:r w:rsidRPr="002A7D65">
          <w:instrText xml:space="preserve"> PAGE   \* MERGEFORMAT </w:instrText>
        </w:r>
        <w:r w:rsidRPr="002A7D65">
          <w:fldChar w:fldCharType="separate"/>
        </w:r>
        <w:r w:rsidRPr="002A7D65">
          <w:t>2</w:t>
        </w:r>
        <w:r w:rsidRPr="002A7D65">
          <w:fldChar w:fldCharType="end"/>
        </w:r>
      </w:p>
    </w:sdtContent>
  </w:sdt>
  <w:p w14:paraId="09B54D63" w14:textId="77777777" w:rsidR="00E771A9" w:rsidRPr="002A7D65" w:rsidRDefault="00E771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78651323"/>
      <w:docPartObj>
        <w:docPartGallery w:val="Page Numbers (Bottom of Page)"/>
        <w:docPartUnique/>
      </w:docPartObj>
    </w:sdtPr>
    <w:sdtEndPr/>
    <w:sdtContent>
      <w:p w14:paraId="75B86574" w14:textId="77777777" w:rsidR="00E771A9" w:rsidRPr="002A7D65" w:rsidRDefault="00E771A9">
        <w:pPr>
          <w:pStyle w:val="Footer"/>
          <w:jc w:val="right"/>
        </w:pPr>
        <w:r w:rsidRPr="002A7D65">
          <w:fldChar w:fldCharType="begin"/>
        </w:r>
        <w:r w:rsidRPr="002A7D65">
          <w:instrText xml:space="preserve"> PAGE   \* MERGEFORMAT </w:instrText>
        </w:r>
        <w:r w:rsidRPr="002A7D65">
          <w:fldChar w:fldCharType="separate"/>
        </w:r>
        <w:r w:rsidRPr="002A7D65">
          <w:t>2</w:t>
        </w:r>
        <w:r w:rsidRPr="002A7D65">
          <w:fldChar w:fldCharType="end"/>
        </w:r>
      </w:p>
    </w:sdtContent>
  </w:sdt>
  <w:p w14:paraId="3E190FAC" w14:textId="77777777" w:rsidR="00E771A9" w:rsidRPr="002A7D65" w:rsidRDefault="00E771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45212187"/>
      <w:docPartObj>
        <w:docPartGallery w:val="Page Numbers (Bottom of Page)"/>
        <w:docPartUnique/>
      </w:docPartObj>
    </w:sdtPr>
    <w:sdtEndPr/>
    <w:sdtContent>
      <w:p w14:paraId="0197F7B0" w14:textId="77777777" w:rsidR="009E7621" w:rsidRPr="002A7D65" w:rsidRDefault="009A5769">
        <w:pPr>
          <w:pStyle w:val="Footer"/>
          <w:jc w:val="right"/>
        </w:pPr>
        <w:r w:rsidRPr="002A7D65">
          <w:fldChar w:fldCharType="begin"/>
        </w:r>
        <w:r w:rsidRPr="002A7D65">
          <w:instrText xml:space="preserve"> PAGE   \* MERGEFORMAT </w:instrText>
        </w:r>
        <w:r w:rsidRPr="002A7D65">
          <w:fldChar w:fldCharType="separate"/>
        </w:r>
        <w:r w:rsidRPr="002A7D65">
          <w:t>2</w:t>
        </w:r>
        <w:r w:rsidRPr="002A7D65">
          <w:fldChar w:fldCharType="end"/>
        </w:r>
      </w:p>
    </w:sdtContent>
  </w:sdt>
  <w:p w14:paraId="3E05C92B" w14:textId="77777777" w:rsidR="009E7621" w:rsidRPr="002A7D65" w:rsidRDefault="009E762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5469333"/>
      <w:docPartObj>
        <w:docPartGallery w:val="Page Numbers (Bottom of Page)"/>
        <w:docPartUnique/>
      </w:docPartObj>
    </w:sdtPr>
    <w:sdtEndPr/>
    <w:sdtContent>
      <w:p w14:paraId="1A1ADCC6" w14:textId="5147F44C" w:rsidR="002E04BA" w:rsidRPr="002A7D65" w:rsidRDefault="002E04BA">
        <w:pPr>
          <w:pStyle w:val="Footer"/>
          <w:jc w:val="right"/>
        </w:pPr>
        <w:r w:rsidRPr="002A7D65">
          <w:fldChar w:fldCharType="begin"/>
        </w:r>
        <w:r w:rsidRPr="002A7D65">
          <w:instrText xml:space="preserve"> PAGE   \* MERGEFORMAT </w:instrText>
        </w:r>
        <w:r w:rsidRPr="002A7D65">
          <w:fldChar w:fldCharType="separate"/>
        </w:r>
        <w:r w:rsidRPr="002A7D65">
          <w:t>2</w:t>
        </w:r>
        <w:r w:rsidRPr="002A7D65">
          <w:fldChar w:fldCharType="end"/>
        </w:r>
      </w:p>
    </w:sdtContent>
  </w:sdt>
  <w:p w14:paraId="358B4CE6" w14:textId="77777777" w:rsidR="002E04BA" w:rsidRPr="002A7D65" w:rsidRDefault="002E04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46FEE2" w14:textId="77777777" w:rsidR="00491FC0" w:rsidRPr="002A7D65" w:rsidRDefault="00491FC0" w:rsidP="00B80382">
      <w:pPr>
        <w:spacing w:line="240" w:lineRule="auto"/>
      </w:pPr>
      <w:r w:rsidRPr="002A7D65">
        <w:separator/>
      </w:r>
    </w:p>
  </w:footnote>
  <w:footnote w:type="continuationSeparator" w:id="0">
    <w:p w14:paraId="708BDB44" w14:textId="77777777" w:rsidR="00491FC0" w:rsidRPr="002A7D65" w:rsidRDefault="00491FC0" w:rsidP="00B80382">
      <w:pPr>
        <w:spacing w:line="240" w:lineRule="auto"/>
      </w:pPr>
      <w:r w:rsidRPr="002A7D65">
        <w:continuationSeparator/>
      </w:r>
    </w:p>
  </w:footnote>
  <w:footnote w:id="1">
    <w:p w14:paraId="7371DF19" w14:textId="035878A7" w:rsidR="00B80382" w:rsidRPr="002A7D65" w:rsidRDefault="00B80382" w:rsidP="00B80382">
      <w:pPr>
        <w:pStyle w:val="FootnoteText"/>
        <w:jc w:val="left"/>
      </w:pPr>
      <w:r w:rsidRPr="002A7D65">
        <w:rPr>
          <w:rStyle w:val="FootnoteReference"/>
        </w:rPr>
        <w:footnoteRef/>
      </w:r>
      <w:r w:rsidRPr="002A7D65">
        <w:t xml:space="preserve"> Pēc Džini koeficienta, kas mēra ienākumu nevienlīdzību, Latvijā joprojām saglabājās augsta ienākumu nevienlīdzība, salīdzinot ar pārējām Eiropas Savienības dalībvalstīm. Latvijā bija otra augstākā Džini koeficienta vērtība starp ES valstīm. </w:t>
      </w:r>
      <w:r w:rsidR="007038E0" w:rsidRPr="002A7D65">
        <w:t xml:space="preserve">Lielāka </w:t>
      </w:r>
      <w:r w:rsidRPr="002A7D65">
        <w:t xml:space="preserve">ienākumu nevienlīdzība ir tikai Bulgārijā. Vairāk informācijas </w:t>
      </w:r>
      <w:hyperlink r:id="rId1" w:anchor="_ftn4" w:history="1">
        <w:r w:rsidRPr="002A7D65">
          <w:rPr>
            <w:rStyle w:val="Hyperlink"/>
          </w:rPr>
          <w:t>https://lvportals.lv/dienaskartiba/335820-2020-gada-majsaimniecibu-riciba-esosie-ienakumi-pieauga-par-81-2021#_ftn4</w:t>
        </w:r>
      </w:hyperlink>
      <w:r w:rsidRPr="002A7D65">
        <w:t xml:space="preserve"> un </w:t>
      </w:r>
      <w:hyperlink r:id="rId2" w:history="1">
        <w:r w:rsidRPr="002A7D65">
          <w:rPr>
            <w:rStyle w:val="Hyperlink"/>
          </w:rPr>
          <w:t>https://ec.</w:t>
        </w:r>
        <w:r w:rsidR="00C16B07" w:rsidRPr="00C16B07">
          <w:rPr>
            <w:rStyle w:val="Hyperlink"/>
            <w:i/>
            <w:iCs/>
          </w:rPr>
          <w:t>euro</w:t>
        </w:r>
        <w:r w:rsidRPr="002A7D65">
          <w:rPr>
            <w:rStyle w:val="Hyperlink"/>
          </w:rPr>
          <w:t>pa.eu/</w:t>
        </w:r>
        <w:r w:rsidR="00C16B07" w:rsidRPr="00C16B07">
          <w:rPr>
            <w:rStyle w:val="Hyperlink"/>
            <w:i/>
            <w:iCs/>
          </w:rPr>
          <w:t>euro</w:t>
        </w:r>
        <w:r w:rsidRPr="002A7D65">
          <w:rPr>
            <w:rStyle w:val="Hyperlink"/>
          </w:rPr>
          <w:t>stat/databrowser/view/ilc_di12/default/table?lang=en</w:t>
        </w:r>
      </w:hyperlink>
      <w:r w:rsidRPr="002A7D65">
        <w:t xml:space="preserve"> </w:t>
      </w:r>
    </w:p>
    <w:p w14:paraId="7288C162" w14:textId="77777777" w:rsidR="00B80382" w:rsidRPr="002A7D65" w:rsidRDefault="00B80382" w:rsidP="00B80382">
      <w:pPr>
        <w:pStyle w:val="FootnoteText"/>
      </w:pPr>
    </w:p>
  </w:footnote>
  <w:footnote w:id="2">
    <w:p w14:paraId="3F68361A" w14:textId="44C842C6" w:rsidR="002F28AF" w:rsidRPr="002A7D65" w:rsidRDefault="002F28AF">
      <w:pPr>
        <w:pStyle w:val="FootnoteText"/>
      </w:pPr>
      <w:r w:rsidRPr="002A7D65">
        <w:rPr>
          <w:rStyle w:val="FootnoteReference"/>
        </w:rPr>
        <w:footnoteRef/>
      </w:r>
      <w:r w:rsidRPr="002A7D65">
        <w:t xml:space="preserve"> </w:t>
      </w:r>
      <w:hyperlink r:id="rId3" w:history="1">
        <w:r w:rsidRPr="002A7D65">
          <w:rPr>
            <w:rStyle w:val="Hyperlink"/>
          </w:rPr>
          <w:t>https://www.izm.gov.lv/lv/augstakas-izglitibas-finansesanas-modelis</w:t>
        </w:r>
      </w:hyperlink>
      <w:r w:rsidRPr="002A7D65">
        <w:t xml:space="preserve"> </w:t>
      </w:r>
    </w:p>
  </w:footnote>
  <w:footnote w:id="3">
    <w:p w14:paraId="036FBDD2" w14:textId="77777777" w:rsidR="00B80382" w:rsidRPr="002A7D65" w:rsidRDefault="00B80382" w:rsidP="00B80382">
      <w:pPr>
        <w:pStyle w:val="FootnoteText"/>
      </w:pPr>
      <w:r w:rsidRPr="002A7D65">
        <w:rPr>
          <w:rStyle w:val="FootnoteReference"/>
        </w:rPr>
        <w:footnoteRef/>
      </w:r>
      <w:r w:rsidRPr="002A7D65">
        <w:t xml:space="preserve"> </w:t>
      </w:r>
      <w:hyperlink r:id="rId4" w:history="1">
        <w:r w:rsidRPr="002A7D65">
          <w:rPr>
            <w:rStyle w:val="Hyperlink"/>
          </w:rPr>
          <w:t>http://tap.mk.gov.lv/lv/mk/tap/?pid=40335458</w:t>
        </w:r>
      </w:hyperlink>
      <w:r w:rsidRPr="002A7D65">
        <w:t xml:space="preserve"> </w:t>
      </w:r>
    </w:p>
  </w:footnote>
  <w:footnote w:id="4">
    <w:p w14:paraId="70D1E672" w14:textId="77777777" w:rsidR="00B80382" w:rsidRPr="002A7D65" w:rsidRDefault="00B80382" w:rsidP="00B80382">
      <w:pPr>
        <w:pStyle w:val="FootnoteText"/>
      </w:pPr>
      <w:r w:rsidRPr="002A7D65">
        <w:rPr>
          <w:rStyle w:val="FootnoteReference"/>
        </w:rPr>
        <w:footnoteRef/>
      </w:r>
      <w:r w:rsidRPr="002A7D65">
        <w:t xml:space="preserve"> </w:t>
      </w:r>
      <w:hyperlink r:id="rId5" w:history="1">
        <w:r w:rsidRPr="002A7D65">
          <w:rPr>
            <w:rStyle w:val="Hyperlink"/>
          </w:rPr>
          <w:t>http://polsis.mk.gov.lv/documents/5245</w:t>
        </w:r>
      </w:hyperlink>
      <w:r w:rsidRPr="002A7D65">
        <w:t xml:space="preserve"> </w:t>
      </w:r>
    </w:p>
  </w:footnote>
  <w:footnote w:id="5">
    <w:p w14:paraId="720A1E83" w14:textId="127155D6" w:rsidR="003121AE" w:rsidRPr="002A7D65" w:rsidRDefault="003121AE">
      <w:pPr>
        <w:pStyle w:val="FootnoteText"/>
      </w:pPr>
      <w:r w:rsidRPr="002A7D65">
        <w:rPr>
          <w:rStyle w:val="FootnoteReference"/>
        </w:rPr>
        <w:footnoteRef/>
      </w:r>
      <w:r w:rsidRPr="002A7D65">
        <w:t xml:space="preserve"> Dati no </w:t>
      </w:r>
      <w:r w:rsidR="00C16B07" w:rsidRPr="00C16B07">
        <w:rPr>
          <w:i/>
          <w:iCs/>
        </w:rPr>
        <w:t>Euro</w:t>
      </w:r>
      <w:r w:rsidRPr="002A7D65">
        <w:t xml:space="preserve">stat. Pieejams: </w:t>
      </w:r>
      <w:hyperlink r:id="rId6" w:history="1">
        <w:r w:rsidR="00DE5B21" w:rsidRPr="002A7D65">
          <w:rPr>
            <w:rStyle w:val="Hyperlink"/>
          </w:rPr>
          <w:t>https://ec.</w:t>
        </w:r>
        <w:r w:rsidR="00C16B07" w:rsidRPr="00C16B07">
          <w:rPr>
            <w:rStyle w:val="Hyperlink"/>
            <w:i/>
            <w:iCs/>
          </w:rPr>
          <w:t>euro</w:t>
        </w:r>
        <w:r w:rsidR="00DE5B21" w:rsidRPr="002A7D65">
          <w:rPr>
            <w:rStyle w:val="Hyperlink"/>
          </w:rPr>
          <w:t>pa.eu/</w:t>
        </w:r>
        <w:r w:rsidR="00C16B07" w:rsidRPr="00C16B07">
          <w:rPr>
            <w:rStyle w:val="Hyperlink"/>
            <w:i/>
            <w:iCs/>
          </w:rPr>
          <w:t>euro</w:t>
        </w:r>
        <w:r w:rsidR="00DE5B21" w:rsidRPr="002A7D65">
          <w:rPr>
            <w:rStyle w:val="Hyperlink"/>
          </w:rPr>
          <w:t>stat/databrowser/view/educ_uoe_fine09</w:t>
        </w:r>
      </w:hyperlink>
      <w:r w:rsidR="00DE5B21" w:rsidRPr="002A7D65">
        <w:t xml:space="preserve"> </w:t>
      </w:r>
    </w:p>
  </w:footnote>
  <w:footnote w:id="6">
    <w:p w14:paraId="3F82965B" w14:textId="02E7573C" w:rsidR="00B80382" w:rsidRPr="002A7D65" w:rsidRDefault="00B80382" w:rsidP="00B80382">
      <w:pPr>
        <w:pStyle w:val="FootnoteText"/>
      </w:pPr>
      <w:r w:rsidRPr="002A7D65">
        <w:footnoteRef/>
      </w:r>
      <w:r w:rsidRPr="002A7D65">
        <w:t xml:space="preserve"> </w:t>
      </w:r>
      <w:r w:rsidRPr="002A7D65">
        <w:rPr>
          <w:rFonts w:eastAsia="Verdana" w:cstheme="minorHAnsi"/>
          <w:i/>
          <w:iCs/>
        </w:rPr>
        <w:t xml:space="preserve">Dati no OECD, </w:t>
      </w:r>
      <w:proofErr w:type="spellStart"/>
      <w:r w:rsidRPr="002A7D65">
        <w:rPr>
          <w:rFonts w:eastAsia="Verdana" w:cstheme="minorHAnsi"/>
          <w:i/>
          <w:iCs/>
        </w:rPr>
        <w:t>Education</w:t>
      </w:r>
      <w:proofErr w:type="spellEnd"/>
      <w:r w:rsidRPr="002A7D65">
        <w:rPr>
          <w:rFonts w:eastAsia="Verdana" w:cstheme="minorHAnsi"/>
          <w:i/>
          <w:iCs/>
        </w:rPr>
        <w:t xml:space="preserve"> </w:t>
      </w:r>
      <w:proofErr w:type="spellStart"/>
      <w:r w:rsidRPr="002A7D65">
        <w:rPr>
          <w:rFonts w:eastAsia="Verdana" w:cstheme="minorHAnsi"/>
          <w:i/>
          <w:iCs/>
        </w:rPr>
        <w:t>at</w:t>
      </w:r>
      <w:proofErr w:type="spellEnd"/>
      <w:r w:rsidRPr="002A7D65">
        <w:rPr>
          <w:rFonts w:eastAsia="Verdana" w:cstheme="minorHAnsi"/>
          <w:i/>
          <w:iCs/>
        </w:rPr>
        <w:t xml:space="preserve"> a </w:t>
      </w:r>
      <w:proofErr w:type="spellStart"/>
      <w:r w:rsidRPr="002A7D65">
        <w:rPr>
          <w:rFonts w:eastAsia="Verdana" w:cstheme="minorHAnsi"/>
          <w:i/>
          <w:iCs/>
        </w:rPr>
        <w:t>Glance</w:t>
      </w:r>
      <w:proofErr w:type="spellEnd"/>
      <w:r w:rsidRPr="002A7D65">
        <w:rPr>
          <w:rFonts w:eastAsia="Verdana" w:cstheme="minorHAnsi"/>
          <w:i/>
          <w:iCs/>
        </w:rPr>
        <w:t xml:space="preserve"> 2021. Pieejams: </w:t>
      </w:r>
      <w:hyperlink r:id="rId7" w:anchor="indicator-chart" w:history="1">
        <w:proofErr w:type="spellStart"/>
        <w:r w:rsidR="000F4052" w:rsidRPr="002A7D65">
          <w:rPr>
            <w:rStyle w:val="Hyperlink"/>
          </w:rPr>
          <w:t>Education</w:t>
        </w:r>
        <w:proofErr w:type="spellEnd"/>
        <w:r w:rsidR="000F4052" w:rsidRPr="002A7D65">
          <w:rPr>
            <w:rStyle w:val="Hyperlink"/>
          </w:rPr>
          <w:t xml:space="preserve"> </w:t>
        </w:r>
        <w:proofErr w:type="spellStart"/>
        <w:r w:rsidR="000F4052" w:rsidRPr="002A7D65">
          <w:rPr>
            <w:rStyle w:val="Hyperlink"/>
          </w:rPr>
          <w:t>resources</w:t>
        </w:r>
        <w:proofErr w:type="spellEnd"/>
        <w:r w:rsidR="000F4052" w:rsidRPr="002A7D65">
          <w:rPr>
            <w:rStyle w:val="Hyperlink"/>
          </w:rPr>
          <w:t xml:space="preserve"> - </w:t>
        </w:r>
        <w:proofErr w:type="spellStart"/>
        <w:r w:rsidR="000F4052" w:rsidRPr="002A7D65">
          <w:rPr>
            <w:rStyle w:val="Hyperlink"/>
          </w:rPr>
          <w:t>Public</w:t>
        </w:r>
        <w:proofErr w:type="spellEnd"/>
        <w:r w:rsidR="000F4052" w:rsidRPr="002A7D65">
          <w:rPr>
            <w:rStyle w:val="Hyperlink"/>
          </w:rPr>
          <w:t xml:space="preserve"> </w:t>
        </w:r>
        <w:proofErr w:type="spellStart"/>
        <w:r w:rsidR="000F4052" w:rsidRPr="002A7D65">
          <w:rPr>
            <w:rStyle w:val="Hyperlink"/>
          </w:rPr>
          <w:t>spending</w:t>
        </w:r>
        <w:proofErr w:type="spellEnd"/>
        <w:r w:rsidR="000F4052" w:rsidRPr="002A7D65">
          <w:rPr>
            <w:rStyle w:val="Hyperlink"/>
          </w:rPr>
          <w:t xml:space="preserve"> </w:t>
        </w:r>
        <w:proofErr w:type="spellStart"/>
        <w:r w:rsidR="000F4052" w:rsidRPr="002A7D65">
          <w:rPr>
            <w:rStyle w:val="Hyperlink"/>
          </w:rPr>
          <w:t>on</w:t>
        </w:r>
        <w:proofErr w:type="spellEnd"/>
        <w:r w:rsidR="000F4052" w:rsidRPr="002A7D65">
          <w:rPr>
            <w:rStyle w:val="Hyperlink"/>
          </w:rPr>
          <w:t xml:space="preserve"> </w:t>
        </w:r>
        <w:proofErr w:type="spellStart"/>
        <w:r w:rsidR="000F4052" w:rsidRPr="002A7D65">
          <w:rPr>
            <w:rStyle w:val="Hyperlink"/>
          </w:rPr>
          <w:t>education</w:t>
        </w:r>
        <w:proofErr w:type="spellEnd"/>
        <w:r w:rsidR="000F4052" w:rsidRPr="002A7D65">
          <w:rPr>
            <w:rStyle w:val="Hyperlink"/>
          </w:rPr>
          <w:t xml:space="preserve"> - OECD </w:t>
        </w:r>
        <w:proofErr w:type="spellStart"/>
        <w:r w:rsidR="000F4052" w:rsidRPr="002A7D65">
          <w:rPr>
            <w:rStyle w:val="Hyperlink"/>
          </w:rPr>
          <w:t>Data</w:t>
        </w:r>
        <w:proofErr w:type="spellEnd"/>
      </w:hyperlink>
    </w:p>
  </w:footnote>
  <w:footnote w:id="7">
    <w:p w14:paraId="0FCEED1D" w14:textId="77777777" w:rsidR="00B80382" w:rsidRPr="002A7D65" w:rsidRDefault="00B80382" w:rsidP="00B80382">
      <w:pPr>
        <w:pStyle w:val="FootnoteText"/>
      </w:pPr>
      <w:r w:rsidRPr="002A7D65">
        <w:rPr>
          <w:rStyle w:val="FootnoteReference"/>
        </w:rPr>
        <w:footnoteRef/>
      </w:r>
      <w:r w:rsidRPr="002A7D65">
        <w:t xml:space="preserve"> 2020. gada Latvijas Republikas Saeimas pasūtītais pētījums “Igaunijas un Ziemeļvalstu pieredze bezmaksas augstākās izglītības ieviešanā”</w:t>
      </w:r>
    </w:p>
  </w:footnote>
  <w:footnote w:id="8">
    <w:p w14:paraId="106B3307" w14:textId="77777777" w:rsidR="00B80382" w:rsidRPr="002A7D65" w:rsidRDefault="00B80382" w:rsidP="00B80382">
      <w:pPr>
        <w:pStyle w:val="FootnoteText"/>
      </w:pPr>
      <w:r w:rsidRPr="002A7D65">
        <w:rPr>
          <w:rStyle w:val="FootnoteReference"/>
        </w:rPr>
        <w:footnoteRef/>
      </w:r>
      <w:r w:rsidRPr="002A7D65">
        <w:t xml:space="preserve"> </w:t>
      </w:r>
      <w:hyperlink r:id="rId8" w:history="1">
        <w:r w:rsidRPr="002A7D65">
          <w:rPr>
            <w:rStyle w:val="Hyperlink"/>
          </w:rPr>
          <w:t>https://www.oecd.org/education/education-at-a-glance/</w:t>
        </w:r>
      </w:hyperlink>
      <w:r w:rsidRPr="002A7D65">
        <w:t xml:space="preserve"> </w:t>
      </w:r>
    </w:p>
  </w:footnote>
  <w:footnote w:id="9">
    <w:p w14:paraId="7B913D93" w14:textId="6764BC50" w:rsidR="00B80382" w:rsidRPr="002A7D65" w:rsidRDefault="00B80382" w:rsidP="00B80382">
      <w:pPr>
        <w:pStyle w:val="FootnoteText"/>
      </w:pPr>
      <w:r w:rsidRPr="002A7D65">
        <w:rPr>
          <w:rStyle w:val="FootnoteReference"/>
        </w:rPr>
        <w:footnoteRef/>
      </w:r>
      <w:r w:rsidRPr="002A7D65">
        <w:t xml:space="preserve"> Latvijas Nacionālā Reformu Programma “Eiropa 2020” stratēģijas īstenošanai: progresa ziņojums, pieejams: </w:t>
      </w:r>
      <w:hyperlink r:id="rId9" w:history="1">
        <w:r w:rsidRPr="002A7D65">
          <w:rPr>
            <w:rStyle w:val="Hyperlink"/>
            <w:rFonts w:cs="Calibri"/>
          </w:rPr>
          <w:t>https://ec.</w:t>
        </w:r>
        <w:r w:rsidR="00C16B07" w:rsidRPr="00C16B07">
          <w:rPr>
            <w:rStyle w:val="Hyperlink"/>
            <w:rFonts w:cs="Calibri"/>
            <w:i/>
            <w:iCs/>
          </w:rPr>
          <w:t>euro</w:t>
        </w:r>
        <w:r w:rsidRPr="002A7D65">
          <w:rPr>
            <w:rStyle w:val="Hyperlink"/>
            <w:rFonts w:cs="Calibri"/>
          </w:rPr>
          <w:t>pa.eu/info/sites/info/files/2017-</w:t>
        </w:r>
        <w:r w:rsidR="00C16B07" w:rsidRPr="00C16B07">
          <w:rPr>
            <w:rStyle w:val="Hyperlink"/>
            <w:rFonts w:cs="Calibri"/>
            <w:i/>
            <w:iCs/>
          </w:rPr>
          <w:t>euro</w:t>
        </w:r>
        <w:r w:rsidRPr="002A7D65">
          <w:rPr>
            <w:rStyle w:val="Hyperlink"/>
            <w:rFonts w:cs="Calibri"/>
          </w:rPr>
          <w:t>pean-semester-national-reform-programme-latvia-lv.pdf</w:t>
        </w:r>
      </w:hyperlink>
      <w:r w:rsidRPr="002A7D65">
        <w:t xml:space="preserve"> </w:t>
      </w:r>
    </w:p>
  </w:footnote>
  <w:footnote w:id="10">
    <w:p w14:paraId="67258320" w14:textId="77777777" w:rsidR="00100DC1" w:rsidRDefault="0030311A" w:rsidP="00100DC1">
      <w:pPr>
        <w:pStyle w:val="FootnoteText"/>
        <w:rPr>
          <w:rFonts w:cstheme="minorBidi"/>
        </w:rPr>
      </w:pPr>
      <w:r>
        <w:rPr>
          <w:rStyle w:val="FootnoteReference"/>
        </w:rPr>
        <w:footnoteRef/>
      </w:r>
      <w:r>
        <w:t xml:space="preserve"> </w:t>
      </w:r>
      <w:r w:rsidR="00212134" w:rsidRPr="00212134">
        <w:t>« Eksperti iesaka pārskatīt studējošo atbalsta elementus – stipendiju, kreditēšanas un kredītu dzēšanas nosacījumus, un augstākās izglītības institūciju finansēšanas modelī iekļaut sociāli taisnīgāku studējošo atbalsta sistēmu.» - Par jauna augstākās izglītības finansēšanas modeļa ieviešanu Latvijā (2014)</w:t>
      </w:r>
      <w:r w:rsidR="00100DC1" w:rsidRPr="00100DC1">
        <w:rPr>
          <w:rFonts w:cstheme="minorBidi"/>
        </w:rPr>
        <w:t xml:space="preserve"> </w:t>
      </w:r>
    </w:p>
    <w:p w14:paraId="7D976BB7" w14:textId="5D3A83D3" w:rsidR="00100DC1" w:rsidRDefault="00100DC1" w:rsidP="00100DC1">
      <w:pPr>
        <w:pStyle w:val="FootnoteText"/>
        <w:rPr>
          <w:rFonts w:cstheme="minorBidi"/>
        </w:rPr>
      </w:pPr>
      <w:r w:rsidRPr="00100DC1">
        <w:rPr>
          <w:rFonts w:cstheme="minorBidi"/>
        </w:rPr>
        <w:t>No IZM statistikas redzam, ka indivīdi, kam skolā ir speciālās vajadzības, maznodrošinātie un bāreņi ir ar mazāku varbūtību studēt budžeta vietā.</w:t>
      </w:r>
    </w:p>
    <w:p w14:paraId="6C289A1D" w14:textId="2524532B" w:rsidR="0030311A" w:rsidRDefault="00100DC1" w:rsidP="00100DC1">
      <w:pPr>
        <w:pStyle w:val="FootnoteText"/>
        <w:jc w:val="center"/>
      </w:pPr>
      <w:r w:rsidRPr="0030311A">
        <w:rPr>
          <w:rFonts w:cstheme="minorBidi"/>
          <w:noProof/>
        </w:rPr>
        <w:drawing>
          <wp:inline distT="0" distB="0" distL="0" distR="0" wp14:anchorId="1620C468" wp14:editId="021B8E6B">
            <wp:extent cx="3812876" cy="3136550"/>
            <wp:effectExtent l="0" t="0" r="0" b="6985"/>
            <wp:docPr id="9" name="Picture 8" descr="A graph with lines and dots&#10;&#10;Description automatically generated">
              <a:extLst xmlns:a="http://schemas.openxmlformats.org/drawingml/2006/main">
                <a:ext uri="{FF2B5EF4-FFF2-40B4-BE49-F238E27FC236}">
                  <a16:creationId xmlns:a16="http://schemas.microsoft.com/office/drawing/2014/main" id="{A6DD1088-64CD-767A-FD0E-CDC128CBEE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graph with lines and dots&#10;&#10;Description automatically generated">
                      <a:extLst>
                        <a:ext uri="{FF2B5EF4-FFF2-40B4-BE49-F238E27FC236}">
                          <a16:creationId xmlns:a16="http://schemas.microsoft.com/office/drawing/2014/main" id="{A6DD1088-64CD-767A-FD0E-CDC128CBEEBE}"/>
                        </a:ext>
                      </a:extLst>
                    </pic:cNvPr>
                    <pic:cNvPicPr>
                      <a:picLocks noChangeAspect="1"/>
                    </pic:cNvPicPr>
                  </pic:nvPicPr>
                  <pic:blipFill>
                    <a:blip r:embed="rId10"/>
                    <a:stretch>
                      <a:fillRect/>
                    </a:stretch>
                  </pic:blipFill>
                  <pic:spPr>
                    <a:xfrm>
                      <a:off x="0" y="0"/>
                      <a:ext cx="3820141" cy="3142527"/>
                    </a:xfrm>
                    <a:prstGeom prst="rect">
                      <a:avLst/>
                    </a:prstGeom>
                  </pic:spPr>
                </pic:pic>
              </a:graphicData>
            </a:graphic>
          </wp:inline>
        </w:drawing>
      </w:r>
    </w:p>
  </w:footnote>
  <w:footnote w:id="11">
    <w:p w14:paraId="68BB51AB" w14:textId="2F86EFBA" w:rsidR="00B52428" w:rsidRPr="002A7D65" w:rsidRDefault="00B52428">
      <w:pPr>
        <w:pStyle w:val="FootnoteText"/>
      </w:pPr>
      <w:r w:rsidRPr="002A7D65">
        <w:rPr>
          <w:rStyle w:val="FootnoteReference"/>
        </w:rPr>
        <w:footnoteRef/>
      </w:r>
      <w:r w:rsidRPr="002A7D65">
        <w:t xml:space="preserve"> Sīkāka</w:t>
      </w:r>
      <w:r w:rsidR="005425CC" w:rsidRPr="002A7D65">
        <w:t>i starptautiskas pieredzes analīzei skatīt pielikumu</w:t>
      </w:r>
    </w:p>
  </w:footnote>
  <w:footnote w:id="12">
    <w:p w14:paraId="24613A6C" w14:textId="2D416B80" w:rsidR="0091146D" w:rsidRPr="002A7D65" w:rsidRDefault="0091146D">
      <w:pPr>
        <w:pStyle w:val="FootnoteText"/>
      </w:pPr>
      <w:r w:rsidRPr="002A7D65">
        <w:rPr>
          <w:rStyle w:val="FootnoteReference"/>
        </w:rPr>
        <w:footnoteRef/>
      </w:r>
      <w:r w:rsidRPr="002A7D65">
        <w:t xml:space="preserve"> </w:t>
      </w:r>
      <w:hyperlink r:id="rId11" w:history="1">
        <w:r w:rsidRPr="002A7D65">
          <w:rPr>
            <w:rStyle w:val="Hyperlink"/>
          </w:rPr>
          <w:t>https://www.izm.gov.lv/lv/augstakas-izglitibas-finansesanas-modelis</w:t>
        </w:r>
      </w:hyperlink>
      <w:r w:rsidRPr="002A7D65">
        <w:t xml:space="preserve"> </w:t>
      </w:r>
    </w:p>
  </w:footnote>
  <w:footnote w:id="13">
    <w:p w14:paraId="0DF42CC9" w14:textId="79070E19" w:rsidR="00B80382" w:rsidRPr="002A7D65" w:rsidRDefault="00B80382" w:rsidP="00B80382">
      <w:pPr>
        <w:pStyle w:val="FootnoteText"/>
      </w:pPr>
      <w:r w:rsidRPr="002A7D65">
        <w:rPr>
          <w:rStyle w:val="FootnoteReference"/>
        </w:rPr>
        <w:footnoteRef/>
      </w:r>
      <w:r w:rsidRPr="002A7D65">
        <w:t xml:space="preserve"> </w:t>
      </w:r>
      <w:proofErr w:type="spellStart"/>
      <w:r w:rsidRPr="002A7D65">
        <w:t>Pruvot</w:t>
      </w:r>
      <w:proofErr w:type="spellEnd"/>
      <w:r w:rsidRPr="002A7D65">
        <w:t xml:space="preserve"> </w:t>
      </w:r>
      <w:proofErr w:type="spellStart"/>
      <w:r w:rsidRPr="002A7D65">
        <w:t>et</w:t>
      </w:r>
      <w:proofErr w:type="spellEnd"/>
      <w:r w:rsidRPr="002A7D65">
        <w:t xml:space="preserve"> </w:t>
      </w:r>
      <w:proofErr w:type="spellStart"/>
      <w:r w:rsidRPr="002A7D65">
        <w:t>al</w:t>
      </w:r>
      <w:proofErr w:type="spellEnd"/>
      <w:r w:rsidRPr="002A7D65">
        <w:t xml:space="preserve">, 2015, </w:t>
      </w:r>
      <w:proofErr w:type="spellStart"/>
      <w:r w:rsidRPr="002A7D65">
        <w:t>Strategies</w:t>
      </w:r>
      <w:proofErr w:type="spellEnd"/>
      <w:r w:rsidRPr="002A7D65">
        <w:t xml:space="preserve"> </w:t>
      </w:r>
      <w:proofErr w:type="spellStart"/>
      <w:r w:rsidRPr="002A7D65">
        <w:t>for</w:t>
      </w:r>
      <w:proofErr w:type="spellEnd"/>
      <w:r w:rsidRPr="002A7D65">
        <w:t xml:space="preserve"> </w:t>
      </w:r>
      <w:proofErr w:type="spellStart"/>
      <w:r w:rsidRPr="002A7D65">
        <w:t>Efficient</w:t>
      </w:r>
      <w:proofErr w:type="spellEnd"/>
      <w:r w:rsidRPr="002A7D65">
        <w:t xml:space="preserve"> </w:t>
      </w:r>
      <w:proofErr w:type="spellStart"/>
      <w:r w:rsidRPr="002A7D65">
        <w:t>Funding</w:t>
      </w:r>
      <w:proofErr w:type="spellEnd"/>
      <w:r w:rsidRPr="002A7D65">
        <w:t xml:space="preserve"> </w:t>
      </w:r>
      <w:proofErr w:type="spellStart"/>
      <w:r w:rsidRPr="002A7D65">
        <w:t>of</w:t>
      </w:r>
      <w:proofErr w:type="spellEnd"/>
      <w:r w:rsidRPr="002A7D65">
        <w:t xml:space="preserve"> </w:t>
      </w:r>
      <w:proofErr w:type="spellStart"/>
      <w:r w:rsidRPr="002A7D65">
        <w:t>Universities</w:t>
      </w:r>
      <w:proofErr w:type="spellEnd"/>
      <w:r w:rsidRPr="002A7D65">
        <w:t xml:space="preserve"> </w:t>
      </w:r>
      <w:proofErr w:type="spellStart"/>
      <w:r w:rsidRPr="002A7D65">
        <w:t>in</w:t>
      </w:r>
      <w:proofErr w:type="spellEnd"/>
      <w:r w:rsidRPr="002A7D65">
        <w:t xml:space="preserve"> </w:t>
      </w:r>
      <w:proofErr w:type="spellStart"/>
      <w:r w:rsidR="00C16B07" w:rsidRPr="00C16B07">
        <w:rPr>
          <w:i/>
          <w:iCs/>
        </w:rPr>
        <w:t>Euro</w:t>
      </w:r>
      <w:r w:rsidRPr="002A7D65">
        <w:t>pe</w:t>
      </w:r>
      <w:proofErr w:type="spellEnd"/>
      <w:r w:rsidRPr="002A7D65">
        <w:t xml:space="preserve"> </w:t>
      </w:r>
      <w:hyperlink r:id="rId12" w:history="1">
        <w:r w:rsidRPr="002A7D65">
          <w:rPr>
            <w:rStyle w:val="Hyperlink"/>
          </w:rPr>
          <w:t>https://link.springer.com/chapter/10.1007/978-3-319-20877-0_11</w:t>
        </w:r>
      </w:hyperlink>
      <w:r w:rsidRPr="002A7D65">
        <w:t xml:space="preserve"> </w:t>
      </w:r>
    </w:p>
  </w:footnote>
  <w:footnote w:id="14">
    <w:p w14:paraId="6B66E293" w14:textId="17F47F76" w:rsidR="00B80382" w:rsidRPr="002A7D65" w:rsidRDefault="00B80382" w:rsidP="00B80382">
      <w:pPr>
        <w:pStyle w:val="FootnoteText"/>
      </w:pPr>
      <w:r w:rsidRPr="002A7D65">
        <w:rPr>
          <w:rStyle w:val="FootnoteReference"/>
        </w:rPr>
        <w:footnoteRef/>
      </w:r>
      <w:r w:rsidRPr="002A7D65">
        <w:t xml:space="preserve"> </w:t>
      </w:r>
      <w:hyperlink r:id="rId13" w:history="1">
        <w:proofErr w:type="spellStart"/>
        <w:r w:rsidRPr="002A7D65">
          <w:rPr>
            <w:rStyle w:val="Hyperlink"/>
          </w:rPr>
          <w:t>define</w:t>
        </w:r>
        <w:proofErr w:type="spellEnd"/>
        <w:r w:rsidRPr="002A7D65">
          <w:rPr>
            <w:rStyle w:val="Hyperlink"/>
          </w:rPr>
          <w:t xml:space="preserve"> </w:t>
        </w:r>
        <w:proofErr w:type="spellStart"/>
        <w:r w:rsidRPr="002A7D65">
          <w:rPr>
            <w:rStyle w:val="Hyperlink"/>
          </w:rPr>
          <w:t>thematic</w:t>
        </w:r>
        <w:proofErr w:type="spellEnd"/>
        <w:r w:rsidRPr="002A7D65">
          <w:rPr>
            <w:rStyle w:val="Hyperlink"/>
          </w:rPr>
          <w:t xml:space="preserve"> </w:t>
        </w:r>
        <w:proofErr w:type="spellStart"/>
        <w:r w:rsidRPr="002A7D65">
          <w:rPr>
            <w:rStyle w:val="Hyperlink"/>
          </w:rPr>
          <w:t>report</w:t>
        </w:r>
        <w:proofErr w:type="spellEnd"/>
        <w:r w:rsidRPr="002A7D65">
          <w:rPr>
            <w:rStyle w:val="Hyperlink"/>
          </w:rPr>
          <w:t xml:space="preserve"> performance-</w:t>
        </w:r>
        <w:proofErr w:type="spellStart"/>
        <w:r w:rsidRPr="002A7D65">
          <w:rPr>
            <w:rStyle w:val="Hyperlink"/>
          </w:rPr>
          <w:t>based</w:t>
        </w:r>
        <w:proofErr w:type="spellEnd"/>
        <w:r w:rsidRPr="002A7D65">
          <w:rPr>
            <w:rStyle w:val="Hyperlink"/>
          </w:rPr>
          <w:t xml:space="preserve"> </w:t>
        </w:r>
        <w:proofErr w:type="spellStart"/>
        <w:r w:rsidRPr="002A7D65">
          <w:rPr>
            <w:rStyle w:val="Hyperlink"/>
          </w:rPr>
          <w:t>funding</w:t>
        </w:r>
        <w:proofErr w:type="spellEnd"/>
        <w:r w:rsidRPr="002A7D65">
          <w:rPr>
            <w:rStyle w:val="Hyperlink"/>
          </w:rPr>
          <w:t xml:space="preserve"> </w:t>
        </w:r>
        <w:proofErr w:type="spellStart"/>
        <w:r w:rsidRPr="002A7D65">
          <w:rPr>
            <w:rStyle w:val="Hyperlink"/>
          </w:rPr>
          <w:t>of</w:t>
        </w:r>
        <w:proofErr w:type="spellEnd"/>
        <w:r w:rsidRPr="002A7D65">
          <w:rPr>
            <w:rStyle w:val="Hyperlink"/>
          </w:rPr>
          <w:t xml:space="preserve"> </w:t>
        </w:r>
        <w:proofErr w:type="spellStart"/>
        <w:r w:rsidRPr="002A7D65">
          <w:rPr>
            <w:rStyle w:val="Hyperlink"/>
          </w:rPr>
          <w:t>universities</w:t>
        </w:r>
        <w:proofErr w:type="spellEnd"/>
        <w:r w:rsidRPr="002A7D65">
          <w:rPr>
            <w:rStyle w:val="Hyperlink"/>
          </w:rPr>
          <w:t xml:space="preserve"> </w:t>
        </w:r>
        <w:proofErr w:type="spellStart"/>
        <w:r w:rsidRPr="002A7D65">
          <w:rPr>
            <w:rStyle w:val="Hyperlink"/>
          </w:rPr>
          <w:t>in</w:t>
        </w:r>
        <w:proofErr w:type="spellEnd"/>
        <w:r w:rsidRPr="002A7D65">
          <w:rPr>
            <w:rStyle w:val="Hyperlink"/>
          </w:rPr>
          <w:t xml:space="preserve"> </w:t>
        </w:r>
        <w:r w:rsidR="00C16B07" w:rsidRPr="00C16B07">
          <w:rPr>
            <w:rStyle w:val="Hyperlink"/>
            <w:i/>
            <w:iCs/>
          </w:rPr>
          <w:t>euro</w:t>
        </w:r>
        <w:r w:rsidRPr="002A7D65">
          <w:rPr>
            <w:rStyle w:val="Hyperlink"/>
          </w:rPr>
          <w:t>pe.pdf (eua.eu)</w:t>
        </w:r>
      </w:hyperlink>
    </w:p>
  </w:footnote>
  <w:footnote w:id="15">
    <w:p w14:paraId="650F0D26" w14:textId="77777777" w:rsidR="00B80382" w:rsidRPr="002A7D65" w:rsidRDefault="00B80382" w:rsidP="00B80382">
      <w:pPr>
        <w:pStyle w:val="FootnoteText"/>
      </w:pPr>
      <w:r w:rsidRPr="002A7D65">
        <w:rPr>
          <w:rStyle w:val="FootnoteReference"/>
        </w:rPr>
        <w:footnoteRef/>
      </w:r>
      <w:r w:rsidRPr="002A7D65">
        <w:t xml:space="preserve"> Melo &amp; </w:t>
      </w:r>
      <w:proofErr w:type="spellStart"/>
      <w:r w:rsidRPr="002A7D65">
        <w:t>Figueiredo</w:t>
      </w:r>
      <w:proofErr w:type="spellEnd"/>
      <w:r w:rsidRPr="002A7D65">
        <w:t xml:space="preserve">, 2019, Performance </w:t>
      </w:r>
      <w:proofErr w:type="spellStart"/>
      <w:r w:rsidRPr="002A7D65">
        <w:t>management</w:t>
      </w:r>
      <w:proofErr w:type="spellEnd"/>
      <w:r w:rsidRPr="002A7D65">
        <w:t xml:space="preserve"> </w:t>
      </w:r>
      <w:proofErr w:type="spellStart"/>
      <w:r w:rsidRPr="002A7D65">
        <w:t>and</w:t>
      </w:r>
      <w:proofErr w:type="spellEnd"/>
      <w:r w:rsidRPr="002A7D65">
        <w:t xml:space="preserve"> </w:t>
      </w:r>
      <w:proofErr w:type="spellStart"/>
      <w:r w:rsidRPr="002A7D65">
        <w:t>diversity</w:t>
      </w:r>
      <w:proofErr w:type="spellEnd"/>
      <w:r w:rsidRPr="002A7D65">
        <w:t xml:space="preserve"> </w:t>
      </w:r>
      <w:proofErr w:type="spellStart"/>
      <w:r w:rsidRPr="002A7D65">
        <w:t>in</w:t>
      </w:r>
      <w:proofErr w:type="spellEnd"/>
      <w:r w:rsidRPr="002A7D65">
        <w:t xml:space="preserve"> </w:t>
      </w:r>
      <w:proofErr w:type="spellStart"/>
      <w:r w:rsidRPr="002A7D65">
        <w:t>higher</w:t>
      </w:r>
      <w:proofErr w:type="spellEnd"/>
      <w:r w:rsidRPr="002A7D65">
        <w:t xml:space="preserve"> </w:t>
      </w:r>
      <w:proofErr w:type="spellStart"/>
      <w:r w:rsidRPr="002A7D65">
        <w:t>education</w:t>
      </w:r>
      <w:proofErr w:type="spellEnd"/>
      <w:r w:rsidRPr="002A7D65">
        <w:t xml:space="preserve">: </w:t>
      </w:r>
      <w:proofErr w:type="spellStart"/>
      <w:r w:rsidRPr="002A7D65">
        <w:t>an</w:t>
      </w:r>
      <w:proofErr w:type="spellEnd"/>
      <w:r w:rsidRPr="002A7D65">
        <w:t xml:space="preserve"> </w:t>
      </w:r>
      <w:proofErr w:type="spellStart"/>
      <w:r w:rsidRPr="002A7D65">
        <w:t>introduction</w:t>
      </w:r>
      <w:proofErr w:type="spellEnd"/>
      <w:r w:rsidRPr="002A7D65">
        <w:t xml:space="preserve"> </w:t>
      </w:r>
      <w:hyperlink r:id="rId14" w:history="1">
        <w:r w:rsidRPr="002A7D65">
          <w:rPr>
            <w:rStyle w:val="Hyperlink"/>
          </w:rPr>
          <w:t>https://link.springer.com/article/10.1007%2Fs11233-019-09044-x</w:t>
        </w:r>
      </w:hyperlink>
      <w:r w:rsidRPr="002A7D65">
        <w:t xml:space="preserve"> </w:t>
      </w:r>
    </w:p>
  </w:footnote>
  <w:footnote w:id="16">
    <w:p w14:paraId="0D784C71" w14:textId="77777777" w:rsidR="00B80382" w:rsidRPr="002A7D65" w:rsidRDefault="00B80382" w:rsidP="00B80382">
      <w:pPr>
        <w:pStyle w:val="FootnoteText"/>
      </w:pPr>
      <w:r w:rsidRPr="002A7D65">
        <w:rPr>
          <w:rStyle w:val="FootnoteReference"/>
        </w:rPr>
        <w:footnoteRef/>
      </w:r>
      <w:r w:rsidRPr="002A7D65">
        <w:t xml:space="preserve"> </w:t>
      </w:r>
      <w:proofErr w:type="spellStart"/>
      <w:r w:rsidRPr="002A7D65">
        <w:t>Ibid</w:t>
      </w:r>
      <w:proofErr w:type="spellEnd"/>
    </w:p>
  </w:footnote>
  <w:footnote w:id="17">
    <w:p w14:paraId="5B193229" w14:textId="77777777" w:rsidR="00B80382" w:rsidRPr="002A7D65" w:rsidRDefault="00B80382" w:rsidP="00B80382">
      <w:pPr>
        <w:pStyle w:val="FootnoteText"/>
      </w:pPr>
      <w:r w:rsidRPr="002A7D65">
        <w:rPr>
          <w:rStyle w:val="FootnoteReference"/>
        </w:rPr>
        <w:footnoteRef/>
      </w:r>
      <w:r w:rsidRPr="002A7D65">
        <w:t xml:space="preserve"> Miller, 2016, </w:t>
      </w:r>
      <w:proofErr w:type="spellStart"/>
      <w:r w:rsidRPr="002A7D65">
        <w:t>Higher</w:t>
      </w:r>
      <w:proofErr w:type="spellEnd"/>
      <w:r w:rsidRPr="002A7D65">
        <w:t xml:space="preserve"> </w:t>
      </w:r>
      <w:proofErr w:type="spellStart"/>
      <w:r w:rsidRPr="002A7D65">
        <w:t>Education</w:t>
      </w:r>
      <w:proofErr w:type="spellEnd"/>
      <w:r w:rsidRPr="002A7D65">
        <w:t xml:space="preserve"> </w:t>
      </w:r>
      <w:proofErr w:type="spellStart"/>
      <w:r w:rsidRPr="002A7D65">
        <w:t>Outcomes-Based</w:t>
      </w:r>
      <w:proofErr w:type="spellEnd"/>
      <w:r w:rsidRPr="002A7D65">
        <w:t xml:space="preserve"> </w:t>
      </w:r>
      <w:proofErr w:type="spellStart"/>
      <w:r w:rsidRPr="002A7D65">
        <w:t>Funding</w:t>
      </w:r>
      <w:proofErr w:type="spellEnd"/>
      <w:r w:rsidRPr="002A7D65">
        <w:t xml:space="preserve"> </w:t>
      </w:r>
      <w:proofErr w:type="spellStart"/>
      <w:r w:rsidRPr="002A7D65">
        <w:t>Models</w:t>
      </w:r>
      <w:proofErr w:type="spellEnd"/>
      <w:r w:rsidRPr="002A7D65">
        <w:t xml:space="preserve"> </w:t>
      </w:r>
      <w:proofErr w:type="spellStart"/>
      <w:r w:rsidRPr="002A7D65">
        <w:t>and</w:t>
      </w:r>
      <w:proofErr w:type="spellEnd"/>
      <w:r w:rsidRPr="002A7D65">
        <w:t xml:space="preserve"> </w:t>
      </w:r>
      <w:proofErr w:type="spellStart"/>
      <w:r w:rsidRPr="002A7D65">
        <w:t>Academic</w:t>
      </w:r>
      <w:proofErr w:type="spellEnd"/>
      <w:r w:rsidRPr="002A7D65">
        <w:t xml:space="preserve"> </w:t>
      </w:r>
      <w:proofErr w:type="spellStart"/>
      <w:r w:rsidRPr="002A7D65">
        <w:t>Quality</w:t>
      </w:r>
      <w:proofErr w:type="spellEnd"/>
      <w:r w:rsidRPr="002A7D65">
        <w:t xml:space="preserve">. </w:t>
      </w:r>
      <w:hyperlink r:id="rId15" w:history="1">
        <w:r w:rsidRPr="002A7D65">
          <w:rPr>
            <w:rStyle w:val="Hyperlink"/>
          </w:rPr>
          <w:t>https://www.luminafoundation.org/files/resources/ensuring-quality-1.pdf</w:t>
        </w:r>
      </w:hyperlink>
      <w:r w:rsidRPr="002A7D65">
        <w:t xml:space="preserve"> </w:t>
      </w:r>
    </w:p>
  </w:footnote>
  <w:footnote w:id="18">
    <w:p w14:paraId="36270FE9" w14:textId="77777777" w:rsidR="00B80382" w:rsidRPr="002A7D65" w:rsidRDefault="00B80382" w:rsidP="00B80382">
      <w:pPr>
        <w:pStyle w:val="FootnoteText"/>
      </w:pPr>
      <w:r w:rsidRPr="002A7D65">
        <w:rPr>
          <w:rStyle w:val="FootnoteReference"/>
        </w:rPr>
        <w:footnoteRef/>
      </w:r>
      <w:r w:rsidRPr="002A7D65">
        <w:t xml:space="preserve"> Melo &amp; </w:t>
      </w:r>
      <w:proofErr w:type="spellStart"/>
      <w:r w:rsidRPr="002A7D65">
        <w:t>Figueiredo</w:t>
      </w:r>
      <w:proofErr w:type="spellEnd"/>
      <w:r w:rsidRPr="002A7D65">
        <w:t xml:space="preserve">, 2019, Performance </w:t>
      </w:r>
      <w:proofErr w:type="spellStart"/>
      <w:r w:rsidRPr="002A7D65">
        <w:t>management</w:t>
      </w:r>
      <w:proofErr w:type="spellEnd"/>
      <w:r w:rsidRPr="002A7D65">
        <w:t xml:space="preserve"> </w:t>
      </w:r>
      <w:proofErr w:type="spellStart"/>
      <w:r w:rsidRPr="002A7D65">
        <w:t>and</w:t>
      </w:r>
      <w:proofErr w:type="spellEnd"/>
      <w:r w:rsidRPr="002A7D65">
        <w:t xml:space="preserve"> </w:t>
      </w:r>
      <w:proofErr w:type="spellStart"/>
      <w:r w:rsidRPr="002A7D65">
        <w:t>diversity</w:t>
      </w:r>
      <w:proofErr w:type="spellEnd"/>
      <w:r w:rsidRPr="002A7D65">
        <w:t xml:space="preserve"> </w:t>
      </w:r>
      <w:proofErr w:type="spellStart"/>
      <w:r w:rsidRPr="002A7D65">
        <w:t>in</w:t>
      </w:r>
      <w:proofErr w:type="spellEnd"/>
      <w:r w:rsidRPr="002A7D65">
        <w:t xml:space="preserve"> </w:t>
      </w:r>
      <w:proofErr w:type="spellStart"/>
      <w:r w:rsidRPr="002A7D65">
        <w:t>higher</w:t>
      </w:r>
      <w:proofErr w:type="spellEnd"/>
      <w:r w:rsidRPr="002A7D65">
        <w:t xml:space="preserve"> </w:t>
      </w:r>
      <w:proofErr w:type="spellStart"/>
      <w:r w:rsidRPr="002A7D65">
        <w:t>education</w:t>
      </w:r>
      <w:proofErr w:type="spellEnd"/>
      <w:r w:rsidRPr="002A7D65">
        <w:t xml:space="preserve">: </w:t>
      </w:r>
      <w:proofErr w:type="spellStart"/>
      <w:r w:rsidRPr="002A7D65">
        <w:t>an</w:t>
      </w:r>
      <w:proofErr w:type="spellEnd"/>
      <w:r w:rsidRPr="002A7D65">
        <w:t xml:space="preserve"> </w:t>
      </w:r>
      <w:proofErr w:type="spellStart"/>
      <w:r w:rsidRPr="002A7D65">
        <w:t>introduction</w:t>
      </w:r>
      <w:proofErr w:type="spellEnd"/>
      <w:r w:rsidRPr="002A7D65">
        <w:t xml:space="preserve"> </w:t>
      </w:r>
      <w:hyperlink r:id="rId16" w:history="1">
        <w:r w:rsidRPr="002A7D65">
          <w:rPr>
            <w:rStyle w:val="Hyperlink"/>
          </w:rPr>
          <w:t>https://link.springer.com/article/10.1007%2Fs11233-019-09044-x</w:t>
        </w:r>
      </w:hyperlink>
      <w:r w:rsidRPr="002A7D65">
        <w:t xml:space="preserve"> </w:t>
      </w:r>
    </w:p>
  </w:footnote>
  <w:footnote w:id="19">
    <w:p w14:paraId="139A3AC9" w14:textId="77777777" w:rsidR="00B80382" w:rsidRPr="002A7D65" w:rsidRDefault="00B80382" w:rsidP="00B80382">
      <w:pPr>
        <w:pStyle w:val="FootnoteText"/>
      </w:pPr>
      <w:r w:rsidRPr="002A7D65">
        <w:rPr>
          <w:rStyle w:val="FootnoteReference"/>
        </w:rPr>
        <w:footnoteRef/>
      </w:r>
      <w:r w:rsidRPr="002A7D65">
        <w:t xml:space="preserve"> “</w:t>
      </w:r>
      <w:proofErr w:type="spellStart"/>
      <w:r w:rsidRPr="002A7D65">
        <w:t>As</w:t>
      </w:r>
      <w:proofErr w:type="spellEnd"/>
      <w:r w:rsidRPr="002A7D65">
        <w:t xml:space="preserve"> </w:t>
      </w:r>
      <w:proofErr w:type="spellStart"/>
      <w:r w:rsidRPr="002A7D65">
        <w:t>such</w:t>
      </w:r>
      <w:proofErr w:type="spellEnd"/>
      <w:r w:rsidRPr="002A7D65">
        <w:t xml:space="preserve">, </w:t>
      </w:r>
      <w:proofErr w:type="spellStart"/>
      <w:r w:rsidRPr="002A7D65">
        <w:t>current</w:t>
      </w:r>
      <w:proofErr w:type="spellEnd"/>
      <w:r w:rsidRPr="002A7D65">
        <w:t xml:space="preserve"> </w:t>
      </w:r>
      <w:proofErr w:type="spellStart"/>
      <w:r w:rsidRPr="002A7D65">
        <w:t>versions</w:t>
      </w:r>
      <w:proofErr w:type="spellEnd"/>
      <w:r w:rsidRPr="002A7D65">
        <w:t xml:space="preserve"> </w:t>
      </w:r>
      <w:proofErr w:type="spellStart"/>
      <w:r w:rsidRPr="002A7D65">
        <w:t>of</w:t>
      </w:r>
      <w:proofErr w:type="spellEnd"/>
      <w:r w:rsidRPr="002A7D65">
        <w:t xml:space="preserve"> Performance </w:t>
      </w:r>
      <w:proofErr w:type="spellStart"/>
      <w:r w:rsidRPr="002A7D65">
        <w:t>Agreements</w:t>
      </w:r>
      <w:proofErr w:type="spellEnd"/>
      <w:r w:rsidRPr="002A7D65">
        <w:t xml:space="preserve"> </w:t>
      </w:r>
      <w:proofErr w:type="spellStart"/>
      <w:r w:rsidRPr="002A7D65">
        <w:t>in</w:t>
      </w:r>
      <w:proofErr w:type="spellEnd"/>
      <w:r w:rsidRPr="002A7D65">
        <w:t xml:space="preserve"> </w:t>
      </w:r>
      <w:proofErr w:type="spellStart"/>
      <w:r w:rsidRPr="002A7D65">
        <w:t>the</w:t>
      </w:r>
      <w:proofErr w:type="spellEnd"/>
      <w:r w:rsidRPr="002A7D65">
        <w:t xml:space="preserve"> </w:t>
      </w:r>
      <w:proofErr w:type="spellStart"/>
      <w:r w:rsidRPr="002A7D65">
        <w:t>Netherlands</w:t>
      </w:r>
      <w:proofErr w:type="spellEnd"/>
      <w:r w:rsidRPr="002A7D65">
        <w:t xml:space="preserve"> </w:t>
      </w:r>
      <w:proofErr w:type="spellStart"/>
      <w:r w:rsidRPr="002A7D65">
        <w:t>now</w:t>
      </w:r>
      <w:proofErr w:type="spellEnd"/>
      <w:r w:rsidRPr="002A7D65">
        <w:t xml:space="preserve"> </w:t>
      </w:r>
      <w:proofErr w:type="spellStart"/>
      <w:r w:rsidRPr="002A7D65">
        <w:t>focus</w:t>
      </w:r>
      <w:proofErr w:type="spellEnd"/>
      <w:r w:rsidRPr="002A7D65">
        <w:t xml:space="preserve"> </w:t>
      </w:r>
      <w:proofErr w:type="spellStart"/>
      <w:r w:rsidRPr="002A7D65">
        <w:t>solely</w:t>
      </w:r>
      <w:proofErr w:type="spellEnd"/>
      <w:r w:rsidRPr="002A7D65">
        <w:t xml:space="preserve"> </w:t>
      </w:r>
      <w:proofErr w:type="spellStart"/>
      <w:r w:rsidRPr="002A7D65">
        <w:t>on</w:t>
      </w:r>
      <w:proofErr w:type="spellEnd"/>
      <w:r w:rsidRPr="002A7D65">
        <w:t xml:space="preserve"> </w:t>
      </w:r>
      <w:proofErr w:type="spellStart"/>
      <w:r w:rsidRPr="002A7D65">
        <w:t>the</w:t>
      </w:r>
      <w:proofErr w:type="spellEnd"/>
      <w:r w:rsidRPr="002A7D65">
        <w:t xml:space="preserve"> </w:t>
      </w:r>
      <w:proofErr w:type="spellStart"/>
      <w:r w:rsidRPr="002A7D65">
        <w:t>quality</w:t>
      </w:r>
      <w:proofErr w:type="spellEnd"/>
      <w:r w:rsidRPr="002A7D65">
        <w:t xml:space="preserve"> </w:t>
      </w:r>
      <w:proofErr w:type="spellStart"/>
      <w:r w:rsidRPr="002A7D65">
        <w:t>of</w:t>
      </w:r>
      <w:proofErr w:type="spellEnd"/>
      <w:r w:rsidRPr="002A7D65">
        <w:t xml:space="preserve"> </w:t>
      </w:r>
      <w:proofErr w:type="spellStart"/>
      <w:r w:rsidRPr="002A7D65">
        <w:t>education</w:t>
      </w:r>
      <w:proofErr w:type="spellEnd"/>
      <w:r w:rsidRPr="002A7D65">
        <w:t xml:space="preserve">, </w:t>
      </w:r>
      <w:proofErr w:type="spellStart"/>
      <w:r w:rsidRPr="002A7D65">
        <w:t>rely</w:t>
      </w:r>
      <w:proofErr w:type="spellEnd"/>
      <w:r w:rsidRPr="002A7D65">
        <w:t xml:space="preserve"> to a </w:t>
      </w:r>
      <w:proofErr w:type="spellStart"/>
      <w:r w:rsidRPr="002A7D65">
        <w:t>greater</w:t>
      </w:r>
      <w:proofErr w:type="spellEnd"/>
      <w:r w:rsidRPr="002A7D65">
        <w:t xml:space="preserve"> </w:t>
      </w:r>
      <w:proofErr w:type="spellStart"/>
      <w:r w:rsidRPr="002A7D65">
        <w:t>extent</w:t>
      </w:r>
      <w:proofErr w:type="spellEnd"/>
      <w:r w:rsidRPr="002A7D65">
        <w:t xml:space="preserve"> </w:t>
      </w:r>
      <w:proofErr w:type="spellStart"/>
      <w:r w:rsidRPr="002A7D65">
        <w:t>on</w:t>
      </w:r>
      <w:proofErr w:type="spellEnd"/>
      <w:r w:rsidRPr="002A7D65">
        <w:t xml:space="preserve"> </w:t>
      </w:r>
      <w:proofErr w:type="spellStart"/>
      <w:r w:rsidRPr="002A7D65">
        <w:t>qualitative</w:t>
      </w:r>
      <w:proofErr w:type="spellEnd"/>
      <w:r w:rsidRPr="002A7D65">
        <w:t xml:space="preserve"> </w:t>
      </w:r>
      <w:proofErr w:type="spellStart"/>
      <w:r w:rsidRPr="002A7D65">
        <w:t>assessments</w:t>
      </w:r>
      <w:proofErr w:type="spellEnd"/>
      <w:r w:rsidRPr="002A7D65">
        <w:t xml:space="preserve"> </w:t>
      </w:r>
      <w:proofErr w:type="spellStart"/>
      <w:r w:rsidRPr="002A7D65">
        <w:t>and</w:t>
      </w:r>
      <w:proofErr w:type="spellEnd"/>
      <w:r w:rsidRPr="002A7D65">
        <w:t xml:space="preserve"> </w:t>
      </w:r>
      <w:proofErr w:type="spellStart"/>
      <w:r w:rsidRPr="002A7D65">
        <w:t>grant</w:t>
      </w:r>
      <w:proofErr w:type="spellEnd"/>
      <w:r w:rsidRPr="002A7D65">
        <w:t xml:space="preserve"> </w:t>
      </w:r>
      <w:proofErr w:type="spellStart"/>
      <w:r w:rsidRPr="002A7D65">
        <w:t>more</w:t>
      </w:r>
      <w:proofErr w:type="spellEnd"/>
      <w:r w:rsidRPr="002A7D65">
        <w:t xml:space="preserve"> </w:t>
      </w:r>
      <w:proofErr w:type="spellStart"/>
      <w:r w:rsidRPr="002A7D65">
        <w:t>autonomy</w:t>
      </w:r>
      <w:proofErr w:type="spellEnd"/>
      <w:r w:rsidRPr="002A7D65">
        <w:t xml:space="preserve"> to </w:t>
      </w:r>
      <w:proofErr w:type="spellStart"/>
      <w:r w:rsidRPr="002A7D65">
        <w:t>institutions</w:t>
      </w:r>
      <w:proofErr w:type="spellEnd"/>
      <w:r w:rsidRPr="002A7D65">
        <w:t xml:space="preserve"> </w:t>
      </w:r>
      <w:proofErr w:type="spellStart"/>
      <w:r w:rsidRPr="002A7D65">
        <w:t>than</w:t>
      </w:r>
      <w:proofErr w:type="spellEnd"/>
      <w:r w:rsidRPr="002A7D65">
        <w:t xml:space="preserve"> </w:t>
      </w:r>
      <w:proofErr w:type="spellStart"/>
      <w:r w:rsidRPr="002A7D65">
        <w:t>earlier</w:t>
      </w:r>
      <w:proofErr w:type="spellEnd"/>
      <w:r w:rsidRPr="002A7D65">
        <w:t xml:space="preserve"> </w:t>
      </w:r>
      <w:proofErr w:type="spellStart"/>
      <w:r w:rsidRPr="002A7D65">
        <w:t>incarnations</w:t>
      </w:r>
      <w:proofErr w:type="spellEnd"/>
      <w:r w:rsidRPr="002A7D65">
        <w:t xml:space="preserve">” </w:t>
      </w:r>
      <w:proofErr w:type="spellStart"/>
      <w:r w:rsidRPr="002A7D65">
        <w:t>Ibid</w:t>
      </w:r>
      <w:proofErr w:type="spellEnd"/>
    </w:p>
  </w:footnote>
  <w:footnote w:id="20">
    <w:p w14:paraId="1ECDDC08" w14:textId="77777777" w:rsidR="00B80382" w:rsidRPr="002A7D65" w:rsidRDefault="00B80382" w:rsidP="00B80382">
      <w:pPr>
        <w:pStyle w:val="FootnoteText"/>
        <w:rPr>
          <w:i/>
          <w:iCs/>
        </w:rPr>
      </w:pPr>
      <w:r w:rsidRPr="002A7D65">
        <w:rPr>
          <w:rStyle w:val="FootnoteReference"/>
        </w:rPr>
        <w:footnoteRef/>
      </w:r>
      <w:r w:rsidRPr="002A7D65">
        <w:t xml:space="preserve"> </w:t>
      </w:r>
      <w:r w:rsidRPr="002A7D65">
        <w:rPr>
          <w:i/>
          <w:iCs/>
        </w:rPr>
        <w:t xml:space="preserve">Dati no OECD, </w:t>
      </w:r>
      <w:proofErr w:type="spellStart"/>
      <w:r w:rsidRPr="002A7D65">
        <w:rPr>
          <w:i/>
          <w:iCs/>
        </w:rPr>
        <w:t>Education</w:t>
      </w:r>
      <w:proofErr w:type="spellEnd"/>
      <w:r w:rsidRPr="002A7D65">
        <w:rPr>
          <w:i/>
          <w:iCs/>
        </w:rPr>
        <w:t xml:space="preserve"> </w:t>
      </w:r>
      <w:proofErr w:type="spellStart"/>
      <w:r w:rsidRPr="002A7D65">
        <w:rPr>
          <w:i/>
          <w:iCs/>
        </w:rPr>
        <w:t>at</w:t>
      </w:r>
      <w:proofErr w:type="spellEnd"/>
      <w:r w:rsidRPr="002A7D65">
        <w:rPr>
          <w:i/>
          <w:iCs/>
        </w:rPr>
        <w:t xml:space="preserve"> a </w:t>
      </w:r>
      <w:proofErr w:type="spellStart"/>
      <w:r w:rsidRPr="002A7D65">
        <w:rPr>
          <w:i/>
          <w:iCs/>
        </w:rPr>
        <w:t>Glance</w:t>
      </w:r>
      <w:proofErr w:type="spellEnd"/>
      <w:r w:rsidRPr="002A7D65">
        <w:rPr>
          <w:i/>
          <w:iCs/>
        </w:rPr>
        <w:t xml:space="preserve"> 2021. </w:t>
      </w:r>
    </w:p>
    <w:p w14:paraId="5A7EDC6C" w14:textId="77777777" w:rsidR="00B80382" w:rsidRPr="002A7D65" w:rsidRDefault="00B80382" w:rsidP="00B80382">
      <w:pPr>
        <w:pStyle w:val="FootnoteText"/>
        <w:ind w:firstLine="0"/>
      </w:pPr>
      <w:r w:rsidRPr="002A7D65">
        <w:rPr>
          <w:i/>
          <w:iCs/>
        </w:rPr>
        <w:t xml:space="preserve">Pieejams: </w:t>
      </w:r>
      <w:hyperlink r:id="rId17" w:history="1">
        <w:r w:rsidRPr="002A7D65">
          <w:rPr>
            <w:rStyle w:val="Hyperlink"/>
            <w:i/>
            <w:iCs/>
          </w:rPr>
          <w:t>https://www.compareyourcountry.org/snaps/education-at-a-glance-2021/en/2915/2018</w:t>
        </w:r>
      </w:hyperlink>
    </w:p>
  </w:footnote>
  <w:footnote w:id="21">
    <w:p w14:paraId="4FDAF9F1" w14:textId="77777777" w:rsidR="00B80382" w:rsidRPr="002A7D65" w:rsidRDefault="00B80382" w:rsidP="00B80382">
      <w:pPr>
        <w:pStyle w:val="FootnoteText"/>
      </w:pPr>
      <w:r w:rsidRPr="002A7D65">
        <w:rPr>
          <w:rStyle w:val="FootnoteReference"/>
        </w:rPr>
        <w:footnoteRef/>
      </w:r>
      <w:r w:rsidRPr="002A7D65">
        <w:t xml:space="preserve"> 2020. gada Latvijas Republikas Saeimas pasūtītais pētījums “Igaunijas un Ziemeļvalstu pieredze bezmaksas augstākās izglītības ieviešanā”</w:t>
      </w:r>
    </w:p>
  </w:footnote>
  <w:footnote w:id="22">
    <w:p w14:paraId="1EB3832C" w14:textId="77777777" w:rsidR="00B80382" w:rsidRPr="002A7D65" w:rsidRDefault="00B80382" w:rsidP="00B80382">
      <w:pPr>
        <w:pStyle w:val="FootnoteText"/>
      </w:pPr>
      <w:r w:rsidRPr="002A7D65">
        <w:rPr>
          <w:rStyle w:val="FootnoteReference"/>
        </w:rPr>
        <w:footnoteRef/>
      </w:r>
      <w:r w:rsidRPr="002A7D65">
        <w:t xml:space="preserve"> </w:t>
      </w:r>
      <w:hyperlink r:id="rId18" w:history="1">
        <w:r w:rsidRPr="002A7D65">
          <w:rPr>
            <w:rStyle w:val="Hyperlink"/>
          </w:rPr>
          <w:t>https://www.theguardian.com/education/2022/jun/29/uk-universities-warn-tuition-fee-crisis-could-mean-home-student-cutbacks</w:t>
        </w:r>
      </w:hyperlink>
      <w:r w:rsidRPr="002A7D65">
        <w:t xml:space="preserve"> </w:t>
      </w:r>
    </w:p>
  </w:footnote>
  <w:footnote w:id="23">
    <w:p w14:paraId="67BBE2AF" w14:textId="77777777" w:rsidR="00B80382" w:rsidRPr="002A7D65" w:rsidRDefault="00B80382" w:rsidP="00B80382">
      <w:pPr>
        <w:pStyle w:val="FootnoteText"/>
      </w:pPr>
      <w:r w:rsidRPr="002A7D65">
        <w:rPr>
          <w:rStyle w:val="FootnoteReference"/>
        </w:rPr>
        <w:footnoteRef/>
      </w:r>
      <w:r w:rsidRPr="002A7D65">
        <w:t xml:space="preserve"> </w:t>
      </w:r>
      <w:hyperlink r:id="rId19" w:anchor="/Beitragsdetailansicht/871/3492/Needed%253A-Financing-Policies-That-Are-Both-Affordable-and-Sustainable" w:history="1">
        <w:r w:rsidRPr="002A7D65">
          <w:rPr>
            <w:rStyle w:val="Hyperlink"/>
          </w:rPr>
          <w:t>https://www.internationalhighereducation.net/en/handbuch/gliederung/#/Beitragsdetailansicht/871/3492/Needed%253A-Financing-Policies-That-Are-Both-Affordable-and-Sustainable</w:t>
        </w:r>
      </w:hyperlink>
      <w:r w:rsidRPr="002A7D65">
        <w:t xml:space="preserve"> </w:t>
      </w:r>
    </w:p>
  </w:footnote>
  <w:footnote w:id="24">
    <w:p w14:paraId="3D1D321B" w14:textId="77777777" w:rsidR="00B80382" w:rsidRPr="002A7D65" w:rsidRDefault="00B80382" w:rsidP="00B80382">
      <w:pPr>
        <w:pStyle w:val="FootnoteText"/>
      </w:pPr>
      <w:r w:rsidRPr="002A7D65">
        <w:rPr>
          <w:rStyle w:val="FootnoteReference"/>
        </w:rPr>
        <w:footnoteRef/>
      </w:r>
      <w:r w:rsidRPr="002A7D65">
        <w:t xml:space="preserve"> </w:t>
      </w:r>
      <w:hyperlink r:id="rId20" w:history="1">
        <w:r w:rsidRPr="002A7D65">
          <w:rPr>
            <w:rStyle w:val="Hyperlink"/>
          </w:rPr>
          <w:t>https://www.researchcghe.org/publications/working-paper/the-changing-finances-of-world-class-universities/</w:t>
        </w:r>
      </w:hyperlink>
      <w:r w:rsidRPr="002A7D65">
        <w:t xml:space="preserve"> </w:t>
      </w:r>
    </w:p>
  </w:footnote>
  <w:footnote w:id="25">
    <w:p w14:paraId="2F22AACC" w14:textId="77777777" w:rsidR="00CC080D" w:rsidRPr="00514ED0" w:rsidRDefault="00CC080D" w:rsidP="00CC080D">
      <w:pPr>
        <w:pStyle w:val="FootnoteText"/>
        <w:rPr>
          <w:rFonts w:asciiTheme="majorHAnsi" w:hAnsiTheme="majorHAnsi" w:cstheme="majorHAnsi"/>
        </w:rPr>
      </w:pPr>
      <w:r>
        <w:rPr>
          <w:rStyle w:val="FootnoteReference"/>
        </w:rPr>
        <w:footnoteRef/>
      </w:r>
      <w:r>
        <w:t xml:space="preserve"> </w:t>
      </w:r>
      <w:proofErr w:type="spellStart"/>
      <w:r w:rsidRPr="00514ED0">
        <w:rPr>
          <w:rFonts w:asciiTheme="majorHAnsi" w:hAnsiTheme="majorHAnsi" w:cstheme="majorHAnsi"/>
        </w:rPr>
        <w:t>European</w:t>
      </w:r>
      <w:proofErr w:type="spellEnd"/>
      <w:r w:rsidRPr="00514ED0">
        <w:rPr>
          <w:rFonts w:asciiTheme="majorHAnsi" w:hAnsiTheme="majorHAnsi" w:cstheme="majorHAnsi"/>
        </w:rPr>
        <w:t xml:space="preserve"> </w:t>
      </w:r>
      <w:proofErr w:type="spellStart"/>
      <w:r w:rsidRPr="00514ED0">
        <w:rPr>
          <w:rFonts w:asciiTheme="majorHAnsi" w:hAnsiTheme="majorHAnsi" w:cstheme="majorHAnsi"/>
        </w:rPr>
        <w:t>Commission</w:t>
      </w:r>
      <w:proofErr w:type="spellEnd"/>
      <w:r w:rsidRPr="00514ED0">
        <w:rPr>
          <w:rFonts w:asciiTheme="majorHAnsi" w:hAnsiTheme="majorHAnsi" w:cstheme="majorHAnsi"/>
        </w:rPr>
        <w:t>/EACEA/</w:t>
      </w:r>
      <w:proofErr w:type="spellStart"/>
      <w:r w:rsidRPr="00514ED0">
        <w:rPr>
          <w:rFonts w:asciiTheme="majorHAnsi" w:hAnsiTheme="majorHAnsi" w:cstheme="majorHAnsi"/>
        </w:rPr>
        <w:t>Eurydice</w:t>
      </w:r>
      <w:proofErr w:type="spellEnd"/>
      <w:r w:rsidRPr="00514ED0">
        <w:rPr>
          <w:rFonts w:asciiTheme="majorHAnsi" w:hAnsiTheme="majorHAnsi" w:cstheme="majorHAnsi"/>
        </w:rPr>
        <w:t xml:space="preserve">, </w:t>
      </w:r>
      <w:r w:rsidRPr="00514ED0">
        <w:rPr>
          <w:rFonts w:asciiTheme="majorHAnsi" w:hAnsiTheme="majorHAnsi" w:cstheme="majorHAnsi"/>
          <w:i/>
          <w:iCs/>
        </w:rPr>
        <w:t>Augstākās izglītības modernizācija Eiropā: akadēmiskais personāls</w:t>
      </w:r>
      <w:r w:rsidRPr="00514ED0">
        <w:rPr>
          <w:rFonts w:asciiTheme="majorHAnsi" w:hAnsiTheme="majorHAnsi" w:cstheme="majorHAnsi"/>
        </w:rPr>
        <w:t xml:space="preserve">, </w:t>
      </w:r>
      <w:r w:rsidRPr="00514ED0">
        <w:rPr>
          <w:rFonts w:asciiTheme="majorHAnsi" w:hAnsiTheme="majorHAnsi" w:cstheme="majorHAnsi"/>
          <w:i/>
          <w:iCs/>
        </w:rPr>
        <w:t xml:space="preserve">2017. </w:t>
      </w:r>
      <w:proofErr w:type="spellStart"/>
      <w:r w:rsidRPr="00514ED0">
        <w:rPr>
          <w:rFonts w:asciiTheme="majorHAnsi" w:hAnsiTheme="majorHAnsi" w:cstheme="majorHAnsi"/>
          <w:i/>
          <w:iCs/>
        </w:rPr>
        <w:t>Eurydice</w:t>
      </w:r>
      <w:proofErr w:type="spellEnd"/>
      <w:r w:rsidRPr="00514ED0">
        <w:rPr>
          <w:rFonts w:asciiTheme="majorHAnsi" w:hAnsiTheme="majorHAnsi" w:cstheme="majorHAnsi"/>
          <w:i/>
          <w:iCs/>
        </w:rPr>
        <w:t xml:space="preserve"> </w:t>
      </w:r>
      <w:r w:rsidRPr="00514ED0">
        <w:rPr>
          <w:rFonts w:asciiTheme="majorHAnsi" w:hAnsiTheme="majorHAnsi" w:cstheme="majorHAnsi"/>
        </w:rPr>
        <w:t xml:space="preserve">pētījums, 2017, 51–52, pieejams: </w:t>
      </w:r>
      <w:hyperlink r:id="rId21" w:history="1">
        <w:r w:rsidRPr="00514ED0">
          <w:rPr>
            <w:rStyle w:val="Hyperlink"/>
            <w:rFonts w:asciiTheme="majorHAnsi" w:hAnsiTheme="majorHAnsi" w:cstheme="majorHAnsi"/>
          </w:rPr>
          <w:t>https://op.europa.eu/en/publication-detail/-/publication/40f84414-683f-11e7-b2f2-01aa75ed71a1/language-lv/format-PDF/source-search</w:t>
        </w:r>
      </w:hyperlink>
      <w:r w:rsidRPr="00514ED0">
        <w:rPr>
          <w:rFonts w:asciiTheme="majorHAnsi" w:hAnsiTheme="majorHAnsi" w:cstheme="majorHAnsi"/>
        </w:rPr>
        <w:t>.</w:t>
      </w:r>
    </w:p>
    <w:p w14:paraId="2FB35E2F" w14:textId="5FFF11C6" w:rsidR="00CC080D" w:rsidRDefault="00CC080D">
      <w:pPr>
        <w:pStyle w:val="FootnoteText"/>
      </w:pPr>
    </w:p>
  </w:footnote>
  <w:footnote w:id="26">
    <w:p w14:paraId="61E4A098" w14:textId="43A2F881" w:rsidR="002E1E67" w:rsidRDefault="002E1E67">
      <w:pPr>
        <w:pStyle w:val="FootnoteText"/>
      </w:pPr>
      <w:r>
        <w:rPr>
          <w:rStyle w:val="FootnoteReference"/>
        </w:rPr>
        <w:footnoteRef/>
      </w:r>
      <w:r>
        <w:t xml:space="preserve"> </w:t>
      </w:r>
      <w:r w:rsidRPr="002E1E67">
        <w:t>https://www.izm.gov.lv/lv/media/16997/download?attachment</w:t>
      </w:r>
    </w:p>
  </w:footnote>
  <w:footnote w:id="27">
    <w:p w14:paraId="480C716E" w14:textId="4917995D" w:rsidR="004952DE" w:rsidRDefault="004952DE">
      <w:pPr>
        <w:pStyle w:val="FootnoteText"/>
      </w:pPr>
      <w:r>
        <w:rPr>
          <w:rStyle w:val="FootnoteReference"/>
        </w:rPr>
        <w:footnoteRef/>
      </w:r>
      <w:r>
        <w:t xml:space="preserve"> Saskaņā ar pēc IZM pasūtījuma veikto pētījumu, kopējās</w:t>
      </w:r>
      <w:r w:rsidR="000318D6">
        <w:t xml:space="preserve"> aktuālās</w:t>
      </w:r>
      <w:r>
        <w:t xml:space="preserve"> vienas studiju vietas bāzes izmaksas ir </w:t>
      </w:r>
      <w:r w:rsidR="00730871">
        <w:t xml:space="preserve">2 327,19 </w:t>
      </w:r>
      <w:r w:rsidR="00730871">
        <w:rPr>
          <w:i/>
          <w:iCs/>
        </w:rPr>
        <w:t xml:space="preserve">euro </w:t>
      </w:r>
      <w:r w:rsidR="00730871">
        <w:t>uz vietu, no kurām</w:t>
      </w:r>
      <w:r w:rsidR="00300404">
        <w:t xml:space="preserve"> darba atalgojuma</w:t>
      </w:r>
      <w:r w:rsidR="00730871">
        <w:t xml:space="preserve"> daļa ir 1 570,86 </w:t>
      </w:r>
      <w:r w:rsidR="00730871">
        <w:rPr>
          <w:i/>
          <w:iCs/>
        </w:rPr>
        <w:t>euro</w:t>
      </w:r>
      <w:r w:rsidR="00730871">
        <w:t>. Attiecīgi, izsakot atlikušo daļu</w:t>
      </w:r>
      <w:r w:rsidR="00512564">
        <w:t>, kas ietver materiāltehnisko nodrošinājumu un</w:t>
      </w:r>
      <w:r w:rsidR="00225471">
        <w:t xml:space="preserve"> infrastruktūru, akadēmiskā personāla algās, iegūst, ka atlikušā daļa ir 48% no kopējām akadēmiskā personāla algām.</w:t>
      </w:r>
      <w:r w:rsidR="00E7738B">
        <w:t xml:space="preserve"> </w:t>
      </w:r>
      <w:r w:rsidR="00E7738B">
        <w:t xml:space="preserve">Šāda summa arī sakrīt ar kopējo  </w:t>
      </w:r>
      <w:r w:rsidR="00755F7D">
        <w:t>tendenci OECD valstī</w:t>
      </w:r>
      <w:r w:rsidR="001B5175">
        <w:t>s</w:t>
      </w:r>
      <w:r w:rsidR="00C12317">
        <w:t xml:space="preserve"> (skat.</w:t>
      </w:r>
      <w:r w:rsidR="007B4995" w:rsidRPr="007B4995">
        <w:t xml:space="preserve"> </w:t>
      </w:r>
      <w:hyperlink r:id="rId22" w:history="1">
        <w:r w:rsidR="007B4995">
          <w:rPr>
            <w:rStyle w:val="Hyperlink"/>
          </w:rPr>
          <w:t xml:space="preserve">OECD </w:t>
        </w:r>
        <w:proofErr w:type="spellStart"/>
        <w:r w:rsidR="007B4995">
          <w:rPr>
            <w:rStyle w:val="Hyperlink"/>
          </w:rPr>
          <w:t>Data</w:t>
        </w:r>
        <w:proofErr w:type="spellEnd"/>
        <w:r w:rsidR="007B4995">
          <w:rPr>
            <w:rStyle w:val="Hyperlink"/>
          </w:rPr>
          <w:t xml:space="preserve"> Explorer • </w:t>
        </w:r>
        <w:proofErr w:type="spellStart"/>
        <w:r w:rsidR="007B4995">
          <w:rPr>
            <w:rStyle w:val="Hyperlink"/>
          </w:rPr>
          <w:t>Expenditure</w:t>
        </w:r>
        <w:proofErr w:type="spellEnd"/>
        <w:r w:rsidR="007B4995">
          <w:rPr>
            <w:rStyle w:val="Hyperlink"/>
          </w:rPr>
          <w:t xml:space="preserve"> </w:t>
        </w:r>
        <w:proofErr w:type="spellStart"/>
        <w:r w:rsidR="007B4995">
          <w:rPr>
            <w:rStyle w:val="Hyperlink"/>
          </w:rPr>
          <w:t>on</w:t>
        </w:r>
        <w:proofErr w:type="spellEnd"/>
        <w:r w:rsidR="007B4995">
          <w:rPr>
            <w:rStyle w:val="Hyperlink"/>
          </w:rPr>
          <w:t xml:space="preserve"> </w:t>
        </w:r>
        <w:proofErr w:type="spellStart"/>
        <w:r w:rsidR="007B4995">
          <w:rPr>
            <w:rStyle w:val="Hyperlink"/>
          </w:rPr>
          <w:t>staff</w:t>
        </w:r>
        <w:proofErr w:type="spellEnd"/>
        <w:r w:rsidR="007B4995">
          <w:rPr>
            <w:rStyle w:val="Hyperlink"/>
          </w:rPr>
          <w:t xml:space="preserve"> </w:t>
        </w:r>
        <w:proofErr w:type="spellStart"/>
        <w:r w:rsidR="007B4995">
          <w:rPr>
            <w:rStyle w:val="Hyperlink"/>
          </w:rPr>
          <w:t>compensation</w:t>
        </w:r>
        <w:proofErr w:type="spellEnd"/>
        <w:r w:rsidR="007B4995">
          <w:rPr>
            <w:rStyle w:val="Hyperlink"/>
          </w:rPr>
          <w:t xml:space="preserve"> </w:t>
        </w:r>
        <w:proofErr w:type="spellStart"/>
        <w:r w:rsidR="007B4995">
          <w:rPr>
            <w:rStyle w:val="Hyperlink"/>
          </w:rPr>
          <w:t>in</w:t>
        </w:r>
        <w:proofErr w:type="spellEnd"/>
        <w:r w:rsidR="007B4995">
          <w:rPr>
            <w:rStyle w:val="Hyperlink"/>
          </w:rPr>
          <w:t xml:space="preserve"> </w:t>
        </w:r>
        <w:proofErr w:type="spellStart"/>
        <w:r w:rsidR="007B4995">
          <w:rPr>
            <w:rStyle w:val="Hyperlink"/>
          </w:rPr>
          <w:t>educational</w:t>
        </w:r>
        <w:proofErr w:type="spellEnd"/>
        <w:r w:rsidR="007B4995">
          <w:rPr>
            <w:rStyle w:val="Hyperlink"/>
          </w:rPr>
          <w:t xml:space="preserve"> </w:t>
        </w:r>
        <w:proofErr w:type="spellStart"/>
        <w:r w:rsidR="007B4995">
          <w:rPr>
            <w:rStyle w:val="Hyperlink"/>
          </w:rPr>
          <w:t>institutions</w:t>
        </w:r>
        <w:proofErr w:type="spellEnd"/>
        <w:r w:rsidR="007B4995">
          <w:rPr>
            <w:rStyle w:val="Hyperlink"/>
          </w:rPr>
          <w:t xml:space="preserve"> (</w:t>
        </w:r>
        <w:proofErr w:type="spellStart"/>
        <w:r w:rsidR="007B4995">
          <w:rPr>
            <w:rStyle w:val="Hyperlink"/>
          </w:rPr>
          <w:t>from</w:t>
        </w:r>
        <w:proofErr w:type="spellEnd"/>
        <w:r w:rsidR="007B4995">
          <w:rPr>
            <w:rStyle w:val="Hyperlink"/>
          </w:rPr>
          <w:t xml:space="preserve"> </w:t>
        </w:r>
        <w:proofErr w:type="spellStart"/>
        <w:r w:rsidR="007B4995">
          <w:rPr>
            <w:rStyle w:val="Hyperlink"/>
          </w:rPr>
          <w:t>all</w:t>
        </w:r>
        <w:proofErr w:type="spellEnd"/>
        <w:r w:rsidR="007B4995">
          <w:rPr>
            <w:rStyle w:val="Hyperlink"/>
          </w:rPr>
          <w:t xml:space="preserve"> </w:t>
        </w:r>
        <w:proofErr w:type="spellStart"/>
        <w:r w:rsidR="007B4995">
          <w:rPr>
            <w:rStyle w:val="Hyperlink"/>
          </w:rPr>
          <w:t>sources</w:t>
        </w:r>
        <w:proofErr w:type="spellEnd"/>
        <w:r w:rsidR="007B4995">
          <w:rPr>
            <w:rStyle w:val="Hyperlink"/>
          </w:rPr>
          <w:t>)</w:t>
        </w:r>
      </w:hyperlink>
      <w:r w:rsidR="00C12317">
        <w:t xml:space="preserve">) </w:t>
      </w:r>
      <w:r w:rsidR="001B5175">
        <w:t xml:space="preserve">. </w:t>
      </w:r>
    </w:p>
  </w:footnote>
  <w:footnote w:id="28">
    <w:p w14:paraId="1F4D7727" w14:textId="77777777" w:rsidR="00C24680" w:rsidRDefault="00C24680" w:rsidP="00C24680">
      <w:pPr>
        <w:pStyle w:val="FootnoteText"/>
      </w:pPr>
      <w:r>
        <w:rPr>
          <w:rStyle w:val="FootnoteReference"/>
        </w:rPr>
        <w:footnoteRef/>
      </w:r>
      <w:r>
        <w:t xml:space="preserve"> </w:t>
      </w:r>
      <w:hyperlink r:id="rId23" w:history="1">
        <w:r w:rsidRPr="00712A0E">
          <w:rPr>
            <w:rStyle w:val="Hyperlink"/>
          </w:rPr>
          <w:t>https://likumi.lv/ta/id/331784-zinatniskas-darbibas-bazes-finansejuma-pieskirsanas-kartiba</w:t>
        </w:r>
      </w:hyperlink>
      <w:r>
        <w:t xml:space="preserve"> </w:t>
      </w:r>
    </w:p>
  </w:footnote>
  <w:footnote w:id="29">
    <w:p w14:paraId="344C62FC" w14:textId="77777777" w:rsidR="009D6F2E" w:rsidRDefault="009D6F2E" w:rsidP="009D6F2E">
      <w:pPr>
        <w:pStyle w:val="FootnoteText"/>
      </w:pPr>
      <w:r>
        <w:rPr>
          <w:rStyle w:val="FootnoteReference"/>
        </w:rPr>
        <w:footnoteRef/>
      </w:r>
      <w:r>
        <w:t xml:space="preserve"> </w:t>
      </w:r>
      <w:hyperlink r:id="rId24" w:history="1">
        <w:r w:rsidRPr="0004634C">
          <w:rPr>
            <w:rStyle w:val="Hyperlink"/>
          </w:rPr>
          <w:t>https://titania.saeima.lv/livs/saeimasnotikumi.nsf/0/27a521691afdef39c22585c700310654/$FILE/Pieaugu%C5%A1o%20izgl%C4%ABt%C4%ABba%20Latvij%C4%81_Fontes_11.02.2020.pptx</w:t>
        </w:r>
      </w:hyperlink>
      <w:r>
        <w:t xml:space="preserve"> </w:t>
      </w:r>
    </w:p>
  </w:footnote>
  <w:footnote w:id="30">
    <w:p w14:paraId="717E313D" w14:textId="77777777" w:rsidR="009D6F2E" w:rsidRDefault="009D6F2E" w:rsidP="009D6F2E">
      <w:pPr>
        <w:pStyle w:val="FootnoteText"/>
      </w:pPr>
      <w:r>
        <w:rPr>
          <w:rStyle w:val="FootnoteReference"/>
        </w:rPr>
        <w:footnoteRef/>
      </w:r>
      <w:r>
        <w:t xml:space="preserve"> </w:t>
      </w:r>
      <w:hyperlink r:id="rId25" w:history="1">
        <w:r w:rsidRPr="0004634C">
          <w:rPr>
            <w:rStyle w:val="Hyperlink"/>
          </w:rPr>
          <w:t>https://www.nki-latvija.lv/content/files/2021_Zinojums_MiKv_AL_1.pdf</w:t>
        </w:r>
      </w:hyperlink>
      <w:r>
        <w:t xml:space="preserve"> </w:t>
      </w:r>
    </w:p>
  </w:footnote>
  <w:footnote w:id="31">
    <w:p w14:paraId="1133ED3F" w14:textId="77777777" w:rsidR="009D6F2E" w:rsidRDefault="009D6F2E" w:rsidP="009D6F2E">
      <w:pPr>
        <w:pStyle w:val="FootnoteText"/>
      </w:pPr>
      <w:r>
        <w:rPr>
          <w:rStyle w:val="FootnoteReference"/>
        </w:rPr>
        <w:footnoteRef/>
      </w:r>
      <w:r>
        <w:t xml:space="preserve"> </w:t>
      </w:r>
      <w:hyperlink r:id="rId26" w:history="1">
        <w:r w:rsidRPr="0004634C">
          <w:rPr>
            <w:rStyle w:val="Hyperlink"/>
          </w:rPr>
          <w:t>https://hea.ie/skills-engagement/microcreds/</w:t>
        </w:r>
      </w:hyperlink>
      <w:r>
        <w:t xml:space="preserve"> </w:t>
      </w:r>
    </w:p>
  </w:footnote>
  <w:footnote w:id="32">
    <w:p w14:paraId="1FE08F8C" w14:textId="77777777" w:rsidR="002E37B6" w:rsidRDefault="002E37B6" w:rsidP="002E37B6">
      <w:pPr>
        <w:pStyle w:val="FootnoteText"/>
      </w:pPr>
      <w:r>
        <w:rPr>
          <w:rStyle w:val="FootnoteReference"/>
        </w:rPr>
        <w:footnoteRef/>
      </w:r>
      <w:r>
        <w:t xml:space="preserve"> </w:t>
      </w:r>
      <w:r w:rsidRPr="00DE30F0">
        <w:t>https://elibrary.worldbank.org/doi/abs/10.1596/978-0-8213-7865-6</w:t>
      </w:r>
    </w:p>
  </w:footnote>
  <w:footnote w:id="33">
    <w:p w14:paraId="04EFB498" w14:textId="77777777" w:rsidR="002E37B6" w:rsidRDefault="002E37B6" w:rsidP="002E37B6">
      <w:pPr>
        <w:pStyle w:val="FootnoteText"/>
      </w:pPr>
      <w:r>
        <w:rPr>
          <w:rStyle w:val="FootnoteReference"/>
        </w:rPr>
        <w:footnoteRef/>
      </w:r>
      <w:r>
        <w:t xml:space="preserve"> </w:t>
      </w:r>
      <w:hyperlink r:id="rId27" w:anchor="/Beitragsdetailansicht/899/3728/The-Transformative-Impact-of-Academic-Excellence-Initiatives" w:history="1">
        <w:r w:rsidRPr="00A303E7">
          <w:rPr>
            <w:rStyle w:val="Hyperlink"/>
          </w:rPr>
          <w:t>https://www.internationalhighereducation.net/en/handbuch/gliederung/#/Beitragsdetailansicht/899/3728/The-Transformative-Impact-of-Academic-Excellence-Initiatives</w:t>
        </w:r>
      </w:hyperlink>
      <w:r>
        <w:t xml:space="preserve"> </w:t>
      </w:r>
    </w:p>
  </w:footnote>
  <w:footnote w:id="34">
    <w:p w14:paraId="77A96E15" w14:textId="36CD2772" w:rsidR="00E818FF" w:rsidRDefault="00E818FF">
      <w:pPr>
        <w:pStyle w:val="FootnoteText"/>
      </w:pPr>
      <w:r>
        <w:rPr>
          <w:rStyle w:val="FootnoteReference"/>
        </w:rPr>
        <w:footnoteRef/>
      </w:r>
      <w:r>
        <w:t xml:space="preserve"> </w:t>
      </w:r>
      <w:r w:rsidRPr="00E818FF">
        <w:t>https://www.izm.gov.lv/lv/jaunums/eurostudent-aptauja-sniedz-ieskatu-par-studentu-dzives-apstakliem-latvija</w:t>
      </w:r>
    </w:p>
  </w:footnote>
  <w:footnote w:id="35">
    <w:p w14:paraId="1537EC72" w14:textId="318EDAC8" w:rsidR="0046244A" w:rsidRDefault="0046244A">
      <w:pPr>
        <w:pStyle w:val="FootnoteText"/>
      </w:pPr>
      <w:r>
        <w:rPr>
          <w:rStyle w:val="FootnoteReference"/>
        </w:rPr>
        <w:footnoteRef/>
      </w:r>
      <w:r>
        <w:t xml:space="preserve"> Plānots, ka pēc</w:t>
      </w:r>
      <w:r w:rsidR="00541774">
        <w:t xml:space="preserve"> turpmāka piešķīruma un</w:t>
      </w:r>
      <w:r>
        <w:t xml:space="preserve"> </w:t>
      </w:r>
      <w:proofErr w:type="spellStart"/>
      <w:r>
        <w:t>izmēģinājumprojekta</w:t>
      </w:r>
      <w:proofErr w:type="spellEnd"/>
      <w:r>
        <w:t xml:space="preserve"> beigām tiks pārdalīts starp iestādēm atbilstoši </w:t>
      </w:r>
      <w:r w:rsidR="00752894">
        <w:t>absolventu skaitam</w:t>
      </w:r>
    </w:p>
  </w:footnote>
  <w:footnote w:id="36">
    <w:p w14:paraId="651CF958" w14:textId="4EE600E9" w:rsidR="00C5501C" w:rsidRDefault="00C5501C" w:rsidP="006D16FF">
      <w:pPr>
        <w:pStyle w:val="FootnoteText"/>
      </w:pPr>
      <w:r>
        <w:rPr>
          <w:rStyle w:val="FootnoteReference"/>
        </w:rPr>
        <w:footnoteRef/>
      </w:r>
      <w:r>
        <w:t xml:space="preserve"> Institucionālā finansējuma </w:t>
      </w:r>
      <w:proofErr w:type="spellStart"/>
      <w:r>
        <w:t>izmēģinājumprojekta</w:t>
      </w:r>
      <w:proofErr w:type="spellEnd"/>
      <w:r>
        <w:t xml:space="preserve"> finansējums koledžām tiks rēķināts pēc attiecīgo grozījumu pieņemšanu likumdošanā.</w:t>
      </w:r>
    </w:p>
  </w:footnote>
  <w:footnote w:id="37">
    <w:p w14:paraId="51060938" w14:textId="56717866" w:rsidR="00030C41" w:rsidRDefault="00030C41">
      <w:pPr>
        <w:pStyle w:val="FootnoteText"/>
      </w:pPr>
      <w:r>
        <w:rPr>
          <w:rStyle w:val="FootnoteReference"/>
        </w:rPr>
        <w:footnoteRef/>
      </w:r>
      <w:r>
        <w:t xml:space="preserve"> </w:t>
      </w:r>
      <w:proofErr w:type="spellStart"/>
      <w:r>
        <w:t>Izmēģinājumprojekts</w:t>
      </w:r>
      <w:proofErr w:type="spellEnd"/>
      <w:r>
        <w:t xml:space="preserve"> neattieksies uz Iekšējās drošības akadēmiju</w:t>
      </w:r>
    </w:p>
  </w:footnote>
  <w:footnote w:id="38">
    <w:p w14:paraId="2652A9C6" w14:textId="7790E359" w:rsidR="00E771A9" w:rsidRPr="002A7D65" w:rsidRDefault="00E771A9" w:rsidP="00E771A9">
      <w:pPr>
        <w:pStyle w:val="FootnoteText"/>
      </w:pPr>
      <w:r w:rsidRPr="002A7D65">
        <w:rPr>
          <w:rStyle w:val="FootnoteReference"/>
        </w:rPr>
        <w:footnoteRef/>
      </w:r>
      <w:r w:rsidRPr="002A7D65">
        <w:t xml:space="preserve"> </w:t>
      </w:r>
      <w:hyperlink r:id="rId28" w:history="1">
        <w:r w:rsidRPr="002A7D65">
          <w:rPr>
            <w:rStyle w:val="Hyperlink"/>
          </w:rPr>
          <w:t>https://eacea.ec.</w:t>
        </w:r>
        <w:r w:rsidR="00C16B07" w:rsidRPr="00C16B07">
          <w:rPr>
            <w:rStyle w:val="Hyperlink"/>
            <w:i/>
            <w:iCs/>
          </w:rPr>
          <w:t>euro</w:t>
        </w:r>
        <w:r w:rsidRPr="002A7D65">
          <w:rPr>
            <w:rStyle w:val="Hyperlink"/>
          </w:rPr>
          <w:t>pa.eu/national-policies/eurydice/content/national-student-fee-and-support-systems-</w:t>
        </w:r>
        <w:r w:rsidR="00C16B07" w:rsidRPr="00C16B07">
          <w:rPr>
            <w:rStyle w:val="Hyperlink"/>
            <w:i/>
            <w:iCs/>
          </w:rPr>
          <w:t>euro</w:t>
        </w:r>
        <w:r w:rsidRPr="002A7D65">
          <w:rPr>
            <w:rStyle w:val="Hyperlink"/>
          </w:rPr>
          <w:t>pean-higher-education-201819_en</w:t>
        </w:r>
      </w:hyperlink>
      <w:r w:rsidRPr="002A7D65">
        <w:t xml:space="preserve"> </w:t>
      </w:r>
    </w:p>
  </w:footnote>
  <w:footnote w:id="39">
    <w:p w14:paraId="4C47CDEC" w14:textId="77777777" w:rsidR="00E771A9" w:rsidRPr="002A7D65" w:rsidRDefault="00E771A9" w:rsidP="00E771A9">
      <w:pPr>
        <w:pStyle w:val="FootnoteText"/>
      </w:pPr>
      <w:r w:rsidRPr="002A7D65">
        <w:rPr>
          <w:rStyle w:val="FootnoteReference"/>
        </w:rPr>
        <w:footnoteRef/>
      </w:r>
      <w:r w:rsidRPr="002A7D65">
        <w:t xml:space="preserve"> </w:t>
      </w:r>
      <w:hyperlink r:id="rId29" w:history="1">
        <w:r w:rsidRPr="002A7D65">
          <w:rPr>
            <w:rStyle w:val="Hyperlink"/>
          </w:rPr>
          <w:t>https://openknowledge.worldbank.org/bitstream/handle/10986/31497/WPS8802.pdf?sequence=4&amp;isAllowed=y</w:t>
        </w:r>
      </w:hyperlink>
      <w:r w:rsidRPr="002A7D65">
        <w:t xml:space="preserve"> </w:t>
      </w:r>
    </w:p>
  </w:footnote>
  <w:footnote w:id="40">
    <w:p w14:paraId="79B3AB07" w14:textId="77777777" w:rsidR="00E771A9" w:rsidRPr="002A7D65" w:rsidRDefault="00E771A9" w:rsidP="00E771A9">
      <w:pPr>
        <w:pStyle w:val="FootnoteText"/>
      </w:pPr>
      <w:r w:rsidRPr="002A7D65">
        <w:rPr>
          <w:rStyle w:val="FootnoteReference"/>
        </w:rPr>
        <w:footnoteRef/>
      </w:r>
      <w:r w:rsidRPr="002A7D65">
        <w:t xml:space="preserve"> </w:t>
      </w:r>
      <w:hyperlink r:id="rId30" w:history="1">
        <w:r w:rsidRPr="002A7D65">
          <w:rPr>
            <w:rStyle w:val="Hyperlink"/>
          </w:rPr>
          <w:t>https://studentaid.gov/understand-aid/types/grants/teach</w:t>
        </w:r>
      </w:hyperlink>
      <w:r w:rsidRPr="002A7D65">
        <w:t xml:space="preserve"> </w:t>
      </w:r>
    </w:p>
  </w:footnote>
  <w:footnote w:id="41">
    <w:p w14:paraId="7CB512A4" w14:textId="77777777" w:rsidR="00E771A9" w:rsidRPr="002A7D65" w:rsidRDefault="00E771A9" w:rsidP="00E771A9">
      <w:pPr>
        <w:pStyle w:val="FootnoteText"/>
      </w:pPr>
      <w:r w:rsidRPr="002A7D65">
        <w:rPr>
          <w:rStyle w:val="FootnoteReference"/>
        </w:rPr>
        <w:footnoteRef/>
      </w:r>
      <w:r w:rsidRPr="002A7D65">
        <w:t xml:space="preserve"> </w:t>
      </w:r>
      <w:hyperlink r:id="rId31" w:history="1">
        <w:r w:rsidRPr="002A7D65">
          <w:rPr>
            <w:rStyle w:val="Hyperlink"/>
          </w:rPr>
          <w:t>https://publications.parliament.uk/pa/cm201719/cmselect/cmtreasy/478/47804.htm</w:t>
        </w:r>
      </w:hyperlink>
      <w:r w:rsidRPr="002A7D65">
        <w:t xml:space="preserve"> </w:t>
      </w:r>
    </w:p>
  </w:footnote>
  <w:footnote w:id="42">
    <w:p w14:paraId="49991B62" w14:textId="11D59243" w:rsidR="00E771A9" w:rsidRPr="002A7D65" w:rsidRDefault="00E771A9" w:rsidP="00E771A9">
      <w:pPr>
        <w:pStyle w:val="FootnoteText"/>
      </w:pPr>
      <w:r w:rsidRPr="002A7D65">
        <w:rPr>
          <w:rStyle w:val="FootnoteReference"/>
        </w:rPr>
        <w:footnoteRef/>
      </w:r>
      <w:r w:rsidRPr="002A7D65">
        <w:t xml:space="preserve"> </w:t>
      </w:r>
      <w:hyperlink r:id="rId32" w:history="1">
        <w:r w:rsidRPr="002A7D65">
          <w:rPr>
            <w:rStyle w:val="Hyperlink"/>
          </w:rPr>
          <w:t>https://eacea.ec.</w:t>
        </w:r>
        <w:r w:rsidR="00C16B07" w:rsidRPr="00C16B07">
          <w:rPr>
            <w:rStyle w:val="Hyperlink"/>
            <w:i/>
            <w:iCs/>
          </w:rPr>
          <w:t>euro</w:t>
        </w:r>
        <w:r w:rsidRPr="002A7D65">
          <w:rPr>
            <w:rStyle w:val="Hyperlink"/>
          </w:rPr>
          <w:t>pa.eu/national-policies/eurydice/sites/default/files/towards_equity_and_inclusion_in_he_full_report_5.pdf</w:t>
        </w:r>
      </w:hyperlink>
      <w:r w:rsidRPr="002A7D65">
        <w:t xml:space="preserve"> </w:t>
      </w:r>
    </w:p>
  </w:footnote>
  <w:footnote w:id="43">
    <w:p w14:paraId="11BC578B" w14:textId="77777777" w:rsidR="00E771A9" w:rsidRPr="002A7D65" w:rsidRDefault="00E771A9" w:rsidP="00E771A9">
      <w:pPr>
        <w:pStyle w:val="FootnoteText"/>
      </w:pPr>
      <w:r w:rsidRPr="002A7D65">
        <w:rPr>
          <w:rStyle w:val="FootnoteReference"/>
        </w:rPr>
        <w:footnoteRef/>
      </w:r>
      <w:r w:rsidRPr="002A7D65">
        <w:t xml:space="preserve"> </w:t>
      </w:r>
      <w:hyperlink r:id="rId33" w:history="1">
        <w:r w:rsidRPr="002A7D65">
          <w:rPr>
            <w:rStyle w:val="Hyperlink"/>
          </w:rPr>
          <w:t>https://www.researchcghe.org/perch/resources/publications/wp41.pdf</w:t>
        </w:r>
      </w:hyperlink>
      <w:r w:rsidRPr="002A7D65">
        <w:t xml:space="preserve"> </w:t>
      </w:r>
    </w:p>
  </w:footnote>
  <w:footnote w:id="44">
    <w:p w14:paraId="01773A47" w14:textId="77777777" w:rsidR="00E771A9" w:rsidRPr="002A7D65" w:rsidRDefault="00E771A9" w:rsidP="00E771A9">
      <w:pPr>
        <w:pStyle w:val="FootnoteText"/>
      </w:pPr>
      <w:r w:rsidRPr="002A7D65">
        <w:rPr>
          <w:rStyle w:val="FootnoteReference"/>
        </w:rPr>
        <w:footnoteRef/>
      </w:r>
      <w:r w:rsidRPr="002A7D65">
        <w:t xml:space="preserve"> </w:t>
      </w:r>
      <w:hyperlink r:id="rId34" w:history="1">
        <w:r w:rsidRPr="002A7D65">
          <w:rPr>
            <w:rStyle w:val="Hyperlink"/>
          </w:rPr>
          <w:t>https://www.oecd.org/education/education-at-a-glance/</w:t>
        </w:r>
      </w:hyperlink>
    </w:p>
  </w:footnote>
  <w:footnote w:id="45">
    <w:p w14:paraId="560373E8" w14:textId="77777777" w:rsidR="00E771A9" w:rsidRPr="002A7D65" w:rsidRDefault="00E771A9" w:rsidP="00E771A9">
      <w:pPr>
        <w:ind w:left="1080" w:firstLine="0"/>
        <w:rPr>
          <w:rFonts w:cstheme="minorHAnsi"/>
        </w:rPr>
      </w:pPr>
      <w:r w:rsidRPr="002A7D65">
        <w:rPr>
          <w:rStyle w:val="FootnoteReference"/>
        </w:rPr>
        <w:footnoteRef/>
      </w:r>
      <w:r w:rsidRPr="002A7D65">
        <w:rPr>
          <w:rFonts w:cstheme="minorHAnsi"/>
        </w:rPr>
        <w:t xml:space="preserve">Aktuāls kopsavilkums par dažādu finansēšanas modeļu ilgtspēju atrodams </w:t>
      </w:r>
    </w:p>
    <w:p w14:paraId="5D827B60" w14:textId="77777777" w:rsidR="00E771A9" w:rsidRPr="002A7D65" w:rsidRDefault="00E771A9" w:rsidP="00E771A9">
      <w:pPr>
        <w:pStyle w:val="FootnoteText"/>
      </w:pPr>
      <w:r w:rsidRPr="002A7D65">
        <w:t xml:space="preserve"> </w:t>
      </w:r>
      <w:hyperlink r:id="rId35" w:history="1">
        <w:r w:rsidRPr="002A7D65">
          <w:rPr>
            <w:rStyle w:val="Hyperlink"/>
          </w:rPr>
          <w:t>https://www.internationalhighereducation.net/api-v1/article/!/action/getPdfOfArticle/articleID/3492/productID/29/filename/article-id-3492.pdf</w:t>
        </w:r>
      </w:hyperlink>
      <w:r w:rsidRPr="002A7D65">
        <w:t xml:space="preserve"> </w:t>
      </w:r>
    </w:p>
  </w:footnote>
  <w:footnote w:id="46">
    <w:p w14:paraId="71C3ECFC" w14:textId="526C362B" w:rsidR="00E771A9" w:rsidRPr="002A7D65" w:rsidRDefault="00E771A9" w:rsidP="00E771A9">
      <w:pPr>
        <w:pStyle w:val="FootnoteText"/>
      </w:pPr>
      <w:r w:rsidRPr="002A7D65">
        <w:rPr>
          <w:rStyle w:val="FootnoteReference"/>
        </w:rPr>
        <w:footnoteRef/>
      </w:r>
      <w:r w:rsidRPr="002A7D65">
        <w:t xml:space="preserve"> </w:t>
      </w:r>
      <w:proofErr w:type="spellStart"/>
      <w:r w:rsidRPr="002A7D65">
        <w:t>Eurydice</w:t>
      </w:r>
      <w:proofErr w:type="spellEnd"/>
      <w:r w:rsidRPr="002A7D65">
        <w:t xml:space="preserve">. (2017, </w:t>
      </w:r>
      <w:proofErr w:type="spellStart"/>
      <w:r w:rsidRPr="002A7D65">
        <w:t>October</w:t>
      </w:r>
      <w:proofErr w:type="spellEnd"/>
      <w:r w:rsidRPr="002A7D65">
        <w:t xml:space="preserve"> 9). Estonian </w:t>
      </w:r>
      <w:proofErr w:type="spellStart"/>
      <w:r w:rsidRPr="002A7D65">
        <w:t>Higher</w:t>
      </w:r>
      <w:proofErr w:type="spellEnd"/>
      <w:r w:rsidRPr="002A7D65">
        <w:t xml:space="preserve"> </w:t>
      </w:r>
      <w:proofErr w:type="spellStart"/>
      <w:r w:rsidRPr="002A7D65">
        <w:t>Education</w:t>
      </w:r>
      <w:proofErr w:type="spellEnd"/>
      <w:r w:rsidRPr="002A7D65">
        <w:t xml:space="preserve"> </w:t>
      </w:r>
      <w:proofErr w:type="spellStart"/>
      <w:r w:rsidRPr="002A7D65">
        <w:t>Funding</w:t>
      </w:r>
      <w:proofErr w:type="spellEnd"/>
      <w:r w:rsidRPr="002A7D65">
        <w:t xml:space="preserve"> [</w:t>
      </w:r>
      <w:proofErr w:type="spellStart"/>
      <w:r w:rsidRPr="002A7D65">
        <w:t>Text</w:t>
      </w:r>
      <w:proofErr w:type="spellEnd"/>
      <w:r w:rsidRPr="002A7D65">
        <w:t xml:space="preserve">]. </w:t>
      </w:r>
      <w:proofErr w:type="spellStart"/>
      <w:r w:rsidRPr="002A7D65">
        <w:t>Eurydice</w:t>
      </w:r>
      <w:proofErr w:type="spellEnd"/>
      <w:r w:rsidRPr="002A7D65">
        <w:t xml:space="preserve"> - </w:t>
      </w:r>
      <w:proofErr w:type="spellStart"/>
      <w:r w:rsidR="00C16B07" w:rsidRPr="00C16B07">
        <w:rPr>
          <w:i/>
          <w:iCs/>
        </w:rPr>
        <w:t>Euro</w:t>
      </w:r>
      <w:r w:rsidRPr="002A7D65">
        <w:t>pean</w:t>
      </w:r>
      <w:proofErr w:type="spellEnd"/>
      <w:r w:rsidRPr="002A7D65">
        <w:t xml:space="preserve"> </w:t>
      </w:r>
      <w:proofErr w:type="spellStart"/>
      <w:r w:rsidRPr="002A7D65">
        <w:t>Commission</w:t>
      </w:r>
      <w:proofErr w:type="spellEnd"/>
      <w:r w:rsidRPr="002A7D65">
        <w:t>. https://</w:t>
      </w:r>
      <w:r w:rsidRPr="00142B8E">
        <w:t>eacea.ec.</w:t>
      </w:r>
      <w:r w:rsidR="00C16B07" w:rsidRPr="00142B8E">
        <w:t>euro</w:t>
      </w:r>
      <w:r w:rsidRPr="00142B8E">
        <w:t>pa.eu/</w:t>
      </w:r>
      <w:r w:rsidRPr="002A7D65">
        <w:t>national-policies/eurydice/content/higher-education-funding-24_en</w:t>
      </w:r>
    </w:p>
  </w:footnote>
  <w:footnote w:id="47">
    <w:p w14:paraId="04677AF5" w14:textId="0885E666" w:rsidR="00E771A9" w:rsidRPr="00142B8E" w:rsidRDefault="00E771A9" w:rsidP="00E771A9">
      <w:pPr>
        <w:pStyle w:val="FootnoteText"/>
      </w:pPr>
      <w:r w:rsidRPr="002A7D65">
        <w:rPr>
          <w:rStyle w:val="FootnoteReference"/>
        </w:rPr>
        <w:footnoteRef/>
      </w:r>
      <w:r w:rsidRPr="002A7D65">
        <w:t xml:space="preserve"> Simson, P. (2019, </w:t>
      </w:r>
      <w:proofErr w:type="spellStart"/>
      <w:r w:rsidRPr="002A7D65">
        <w:t>October</w:t>
      </w:r>
      <w:proofErr w:type="spellEnd"/>
      <w:r w:rsidRPr="002A7D65">
        <w:t xml:space="preserve"> 23). National Audit Office: </w:t>
      </w:r>
      <w:proofErr w:type="spellStart"/>
      <w:r w:rsidRPr="002A7D65">
        <w:t>Outcomes</w:t>
      </w:r>
      <w:proofErr w:type="spellEnd"/>
      <w:r w:rsidRPr="002A7D65">
        <w:t xml:space="preserve"> </w:t>
      </w:r>
      <w:proofErr w:type="spellStart"/>
      <w:r w:rsidRPr="002A7D65">
        <w:t>of</w:t>
      </w:r>
      <w:proofErr w:type="spellEnd"/>
      <w:r w:rsidRPr="002A7D65">
        <w:t xml:space="preserve"> </w:t>
      </w:r>
      <w:proofErr w:type="spellStart"/>
      <w:r w:rsidRPr="002A7D65">
        <w:t>reform</w:t>
      </w:r>
      <w:proofErr w:type="spellEnd"/>
      <w:r w:rsidRPr="002A7D65">
        <w:t xml:space="preserve"> </w:t>
      </w:r>
      <w:proofErr w:type="spellStart"/>
      <w:r w:rsidRPr="002A7D65">
        <w:t>for</w:t>
      </w:r>
      <w:proofErr w:type="spellEnd"/>
      <w:r w:rsidRPr="002A7D65">
        <w:t xml:space="preserve"> </w:t>
      </w:r>
      <w:proofErr w:type="spellStart"/>
      <w:r w:rsidRPr="002A7D65">
        <w:t>transition</w:t>
      </w:r>
      <w:proofErr w:type="spellEnd"/>
      <w:r w:rsidRPr="002A7D65">
        <w:t xml:space="preserve"> to </w:t>
      </w:r>
      <w:proofErr w:type="spellStart"/>
      <w:r w:rsidRPr="002A7D65">
        <w:t>free</w:t>
      </w:r>
      <w:proofErr w:type="spellEnd"/>
      <w:r w:rsidRPr="002A7D65">
        <w:t xml:space="preserve"> </w:t>
      </w:r>
      <w:proofErr w:type="spellStart"/>
      <w:r w:rsidRPr="002A7D65">
        <w:t>higher</w:t>
      </w:r>
      <w:proofErr w:type="spellEnd"/>
      <w:r w:rsidRPr="002A7D65">
        <w:t xml:space="preserve"> </w:t>
      </w:r>
      <w:proofErr w:type="spellStart"/>
      <w:r w:rsidRPr="002A7D65">
        <w:t>education</w:t>
      </w:r>
      <w:proofErr w:type="spellEnd"/>
      <w:r w:rsidRPr="002A7D65">
        <w:t xml:space="preserve"> </w:t>
      </w:r>
      <w:proofErr w:type="spellStart"/>
      <w:r w:rsidRPr="002A7D65">
        <w:t>are</w:t>
      </w:r>
      <w:proofErr w:type="spellEnd"/>
      <w:r w:rsidRPr="002A7D65">
        <w:t xml:space="preserve"> </w:t>
      </w:r>
      <w:proofErr w:type="spellStart"/>
      <w:r w:rsidRPr="002A7D65">
        <w:t>patchy</w:t>
      </w:r>
      <w:proofErr w:type="spellEnd"/>
      <w:r w:rsidRPr="002A7D65">
        <w:t xml:space="preserve">. National Audit Office. </w:t>
      </w:r>
    </w:p>
  </w:footnote>
  <w:footnote w:id="48">
    <w:p w14:paraId="10E4C2C7" w14:textId="743B360E" w:rsidR="00E771A9" w:rsidRPr="00142B8E" w:rsidRDefault="00E771A9" w:rsidP="00E771A9">
      <w:pPr>
        <w:pStyle w:val="FootnoteText"/>
      </w:pPr>
      <w:r w:rsidRPr="00142B8E">
        <w:rPr>
          <w:rStyle w:val="FootnoteReference"/>
        </w:rPr>
        <w:footnoteRef/>
      </w:r>
      <w:r w:rsidRPr="00142B8E">
        <w:t xml:space="preserve"> </w:t>
      </w:r>
      <w:proofErr w:type="spellStart"/>
      <w:r w:rsidRPr="00142B8E">
        <w:t>Eurydice</w:t>
      </w:r>
      <w:proofErr w:type="spellEnd"/>
      <w:r w:rsidRPr="00142B8E">
        <w:t xml:space="preserve">. (2017b, </w:t>
      </w:r>
      <w:proofErr w:type="spellStart"/>
      <w:r w:rsidRPr="00142B8E">
        <w:t>October</w:t>
      </w:r>
      <w:proofErr w:type="spellEnd"/>
      <w:r w:rsidRPr="00142B8E">
        <w:t xml:space="preserve"> 9). </w:t>
      </w:r>
      <w:proofErr w:type="spellStart"/>
      <w:r w:rsidRPr="00142B8E">
        <w:t>Finnish</w:t>
      </w:r>
      <w:proofErr w:type="spellEnd"/>
      <w:r w:rsidRPr="00142B8E">
        <w:t xml:space="preserve"> </w:t>
      </w:r>
      <w:proofErr w:type="spellStart"/>
      <w:r w:rsidRPr="00142B8E">
        <w:t>Higher</w:t>
      </w:r>
      <w:proofErr w:type="spellEnd"/>
      <w:r w:rsidRPr="00142B8E">
        <w:t xml:space="preserve"> </w:t>
      </w:r>
      <w:proofErr w:type="spellStart"/>
      <w:r w:rsidRPr="00142B8E">
        <w:t>Education</w:t>
      </w:r>
      <w:proofErr w:type="spellEnd"/>
      <w:r w:rsidRPr="00142B8E">
        <w:t xml:space="preserve"> </w:t>
      </w:r>
      <w:proofErr w:type="spellStart"/>
      <w:r w:rsidRPr="00142B8E">
        <w:t>Funding</w:t>
      </w:r>
      <w:proofErr w:type="spellEnd"/>
      <w:r w:rsidRPr="00142B8E">
        <w:t xml:space="preserve"> [</w:t>
      </w:r>
      <w:proofErr w:type="spellStart"/>
      <w:r w:rsidRPr="00142B8E">
        <w:t>Text</w:t>
      </w:r>
      <w:proofErr w:type="spellEnd"/>
      <w:r w:rsidRPr="00142B8E">
        <w:t xml:space="preserve">]. </w:t>
      </w:r>
      <w:proofErr w:type="spellStart"/>
      <w:r w:rsidRPr="00142B8E">
        <w:t>Eurydice</w:t>
      </w:r>
      <w:proofErr w:type="spellEnd"/>
      <w:r w:rsidRPr="00142B8E">
        <w:t xml:space="preserve"> - </w:t>
      </w:r>
      <w:proofErr w:type="spellStart"/>
      <w:r w:rsidR="00C16B07" w:rsidRPr="00142B8E">
        <w:t>Euro</w:t>
      </w:r>
      <w:r w:rsidRPr="00142B8E">
        <w:t>pean</w:t>
      </w:r>
      <w:proofErr w:type="spellEnd"/>
      <w:r w:rsidRPr="00142B8E">
        <w:t xml:space="preserve"> </w:t>
      </w:r>
      <w:proofErr w:type="spellStart"/>
      <w:r w:rsidRPr="00142B8E">
        <w:t>Commission</w:t>
      </w:r>
      <w:proofErr w:type="spellEnd"/>
      <w:r w:rsidRPr="00142B8E">
        <w:t>. https://eacea.ec.</w:t>
      </w:r>
      <w:r w:rsidR="00C16B07" w:rsidRPr="00142B8E">
        <w:t>euro</w:t>
      </w:r>
      <w:r w:rsidRPr="00142B8E">
        <w:t>pa.eu/national-policies/eurydice/content/higher-education-funding-25_en</w:t>
      </w:r>
    </w:p>
  </w:footnote>
  <w:footnote w:id="49">
    <w:p w14:paraId="3311017E" w14:textId="77777777" w:rsidR="00E771A9" w:rsidRPr="002A7D65" w:rsidRDefault="00E771A9" w:rsidP="00E771A9">
      <w:pPr>
        <w:pStyle w:val="FootnoteText"/>
      </w:pPr>
      <w:r w:rsidRPr="00142B8E">
        <w:rPr>
          <w:rStyle w:val="FootnoteReference"/>
        </w:rPr>
        <w:footnoteRef/>
      </w:r>
      <w:r w:rsidRPr="00142B8E">
        <w:t xml:space="preserve"> </w:t>
      </w:r>
      <w:proofErr w:type="spellStart"/>
      <w:r w:rsidRPr="00142B8E">
        <w:t>Elken</w:t>
      </w:r>
      <w:proofErr w:type="spellEnd"/>
      <w:r w:rsidRPr="00142B8E">
        <w:t xml:space="preserve">, M., </w:t>
      </w:r>
      <w:proofErr w:type="spellStart"/>
      <w:r w:rsidRPr="00142B8E">
        <w:t>Hovdhaugen</w:t>
      </w:r>
      <w:proofErr w:type="spellEnd"/>
      <w:r w:rsidRPr="00142B8E">
        <w:t xml:space="preserve">, E., &amp; </w:t>
      </w:r>
      <w:proofErr w:type="spellStart"/>
      <w:r w:rsidRPr="00142B8E">
        <w:t>Wiers-Jenssen</w:t>
      </w:r>
      <w:proofErr w:type="spellEnd"/>
      <w:r w:rsidRPr="00142B8E">
        <w:t xml:space="preserve">, J. (2015). </w:t>
      </w:r>
      <w:proofErr w:type="spellStart"/>
      <w:r w:rsidRPr="00142B8E">
        <w:t>Higher</w:t>
      </w:r>
      <w:proofErr w:type="spellEnd"/>
      <w:r w:rsidRPr="00142B8E">
        <w:t xml:space="preserve"> </w:t>
      </w:r>
      <w:proofErr w:type="spellStart"/>
      <w:r w:rsidRPr="00142B8E">
        <w:t>Education</w:t>
      </w:r>
      <w:proofErr w:type="spellEnd"/>
      <w:r w:rsidRPr="00142B8E">
        <w:t xml:space="preserve"> </w:t>
      </w:r>
      <w:proofErr w:type="spellStart"/>
      <w:r w:rsidRPr="00142B8E">
        <w:t>in</w:t>
      </w:r>
      <w:proofErr w:type="spellEnd"/>
      <w:r w:rsidRPr="00142B8E">
        <w:t xml:space="preserve"> </w:t>
      </w:r>
      <w:proofErr w:type="spellStart"/>
      <w:r w:rsidRPr="00142B8E">
        <w:t>the</w:t>
      </w:r>
      <w:proofErr w:type="spellEnd"/>
      <w:r w:rsidRPr="00142B8E">
        <w:t xml:space="preserve"> </w:t>
      </w:r>
      <w:proofErr w:type="spellStart"/>
      <w:r w:rsidRPr="00142B8E">
        <w:t>Nordic</w:t>
      </w:r>
      <w:proofErr w:type="spellEnd"/>
      <w:r w:rsidRPr="00142B8E">
        <w:t xml:space="preserve"> </w:t>
      </w:r>
      <w:proofErr w:type="spellStart"/>
      <w:r w:rsidRPr="00142B8E">
        <w:t>Countries</w:t>
      </w:r>
      <w:proofErr w:type="spellEnd"/>
      <w:r w:rsidRPr="00142B8E">
        <w:t xml:space="preserve">: </w:t>
      </w:r>
      <w:proofErr w:type="spellStart"/>
      <w:r w:rsidRPr="00142B8E">
        <w:t>Evaluation</w:t>
      </w:r>
      <w:proofErr w:type="spellEnd"/>
      <w:r w:rsidRPr="00142B8E">
        <w:t xml:space="preserve"> </w:t>
      </w:r>
      <w:proofErr w:type="spellStart"/>
      <w:r w:rsidRPr="00142B8E">
        <w:t>of</w:t>
      </w:r>
      <w:proofErr w:type="spellEnd"/>
      <w:r w:rsidRPr="00142B8E">
        <w:t xml:space="preserve"> </w:t>
      </w:r>
      <w:proofErr w:type="spellStart"/>
      <w:r w:rsidRPr="00142B8E">
        <w:t>the</w:t>
      </w:r>
      <w:proofErr w:type="spellEnd"/>
      <w:r w:rsidRPr="00142B8E">
        <w:t xml:space="preserve"> </w:t>
      </w:r>
      <w:proofErr w:type="spellStart"/>
      <w:r w:rsidRPr="00142B8E">
        <w:t>Nordic</w:t>
      </w:r>
      <w:proofErr w:type="spellEnd"/>
      <w:r w:rsidRPr="00142B8E">
        <w:t xml:space="preserve"> </w:t>
      </w:r>
      <w:proofErr w:type="spellStart"/>
      <w:r w:rsidRPr="00142B8E">
        <w:t>agreement</w:t>
      </w:r>
      <w:proofErr w:type="spellEnd"/>
      <w:r w:rsidRPr="00142B8E">
        <w:t xml:space="preserve"> </w:t>
      </w:r>
      <w:proofErr w:type="spellStart"/>
      <w:r w:rsidRPr="00142B8E">
        <w:t>on</w:t>
      </w:r>
      <w:proofErr w:type="spellEnd"/>
      <w:r w:rsidRPr="00142B8E">
        <w:t xml:space="preserve"> </w:t>
      </w:r>
      <w:proofErr w:type="spellStart"/>
      <w:r w:rsidRPr="00142B8E">
        <w:t>admission</w:t>
      </w:r>
      <w:proofErr w:type="spellEnd"/>
      <w:r w:rsidRPr="00142B8E">
        <w:t xml:space="preserve"> to </w:t>
      </w:r>
      <w:proofErr w:type="spellStart"/>
      <w:r w:rsidRPr="00142B8E">
        <w:t>higher</w:t>
      </w:r>
      <w:proofErr w:type="spellEnd"/>
      <w:r w:rsidRPr="00142B8E">
        <w:t xml:space="preserve"> </w:t>
      </w:r>
      <w:proofErr w:type="spellStart"/>
      <w:r w:rsidRPr="00142B8E">
        <w:t>education</w:t>
      </w:r>
      <w:proofErr w:type="spellEnd"/>
      <w:r w:rsidRPr="00142B8E">
        <w:t>.</w:t>
      </w:r>
    </w:p>
  </w:footnote>
  <w:footnote w:id="50">
    <w:p w14:paraId="2E731744" w14:textId="77777777" w:rsidR="00E771A9" w:rsidRPr="002A7D65" w:rsidRDefault="00E771A9" w:rsidP="00E771A9">
      <w:pPr>
        <w:pStyle w:val="FootnoteText"/>
      </w:pPr>
      <w:r w:rsidRPr="002A7D65">
        <w:rPr>
          <w:rStyle w:val="FootnoteReference"/>
        </w:rPr>
        <w:footnoteRef/>
      </w:r>
      <w:r w:rsidRPr="002A7D65">
        <w:t xml:space="preserve"> </w:t>
      </w:r>
      <w:hyperlink r:id="rId36" w:history="1">
        <w:proofErr w:type="spellStart"/>
        <w:r w:rsidRPr="002A7D65">
          <w:rPr>
            <w:rStyle w:val="Hyperlink"/>
          </w:rPr>
          <w:t>Admissions</w:t>
        </w:r>
        <w:proofErr w:type="spellEnd"/>
        <w:r w:rsidRPr="002A7D65">
          <w:rPr>
            <w:rStyle w:val="Hyperlink"/>
          </w:rPr>
          <w:t xml:space="preserve"> </w:t>
        </w:r>
        <w:proofErr w:type="spellStart"/>
        <w:r w:rsidRPr="002A7D65">
          <w:rPr>
            <w:rStyle w:val="Hyperlink"/>
          </w:rPr>
          <w:t>should</w:t>
        </w:r>
        <w:proofErr w:type="spellEnd"/>
        <w:r w:rsidRPr="002A7D65">
          <w:rPr>
            <w:rStyle w:val="Hyperlink"/>
          </w:rPr>
          <w:t xml:space="preserve"> never </w:t>
        </w:r>
        <w:proofErr w:type="spellStart"/>
        <w:r w:rsidRPr="002A7D65">
          <w:rPr>
            <w:rStyle w:val="Hyperlink"/>
          </w:rPr>
          <w:t>be</w:t>
        </w:r>
        <w:proofErr w:type="spellEnd"/>
        <w:r w:rsidRPr="002A7D65">
          <w:rPr>
            <w:rStyle w:val="Hyperlink"/>
          </w:rPr>
          <w:t xml:space="preserve"> a </w:t>
        </w:r>
        <w:proofErr w:type="spellStart"/>
        <w:r w:rsidRPr="002A7D65">
          <w:rPr>
            <w:rStyle w:val="Hyperlink"/>
          </w:rPr>
          <w:t>conveyor</w:t>
        </w:r>
        <w:proofErr w:type="spellEnd"/>
        <w:r w:rsidRPr="002A7D65">
          <w:rPr>
            <w:rStyle w:val="Hyperlink"/>
          </w:rPr>
          <w:t xml:space="preserve"> </w:t>
        </w:r>
        <w:proofErr w:type="spellStart"/>
        <w:r w:rsidRPr="002A7D65">
          <w:rPr>
            <w:rStyle w:val="Hyperlink"/>
          </w:rPr>
          <w:t>belt</w:t>
        </w:r>
        <w:proofErr w:type="spellEnd"/>
        <w:r w:rsidRPr="002A7D65">
          <w:rPr>
            <w:rStyle w:val="Hyperlink"/>
          </w:rPr>
          <w:t xml:space="preserve"> | </w:t>
        </w:r>
        <w:proofErr w:type="spellStart"/>
        <w:r w:rsidRPr="002A7D65">
          <w:rPr>
            <w:rStyle w:val="Hyperlink"/>
          </w:rPr>
          <w:t>Wonkhe</w:t>
        </w:r>
        <w:proofErr w:type="spellEnd"/>
      </w:hyperlink>
    </w:p>
  </w:footnote>
  <w:footnote w:id="51">
    <w:p w14:paraId="1050530A" w14:textId="77777777" w:rsidR="00E771A9" w:rsidRPr="002A7D65" w:rsidRDefault="00E771A9" w:rsidP="00E771A9">
      <w:pPr>
        <w:pStyle w:val="FootnoteText"/>
        <w:rPr>
          <w:sz w:val="14"/>
          <w:szCs w:val="14"/>
        </w:rPr>
      </w:pPr>
      <w:r w:rsidRPr="002A7D65">
        <w:rPr>
          <w:rStyle w:val="FootnoteReference"/>
        </w:rPr>
        <w:footnoteRef/>
      </w:r>
      <w:r w:rsidRPr="002A7D65">
        <w:rPr>
          <w:sz w:val="14"/>
          <w:szCs w:val="14"/>
        </w:rPr>
        <w:t xml:space="preserve"> 1. līmeņa profesionālās izglītības studiju programmas</w:t>
      </w:r>
    </w:p>
  </w:footnote>
  <w:footnote w:id="52">
    <w:p w14:paraId="748E571C" w14:textId="6E411F40" w:rsidR="00E771A9" w:rsidRPr="00305FFC" w:rsidRDefault="00E771A9" w:rsidP="00E771A9">
      <w:pPr>
        <w:pStyle w:val="FootnoteText"/>
      </w:pPr>
      <w:r w:rsidRPr="002A7D65">
        <w:rPr>
          <w:rStyle w:val="FootnoteReference"/>
        </w:rPr>
        <w:footnoteRef/>
      </w:r>
      <w:r w:rsidRPr="002A7D65">
        <w:t xml:space="preserve"> </w:t>
      </w:r>
      <w:hyperlink r:id="rId37" w:history="1">
        <w:r w:rsidRPr="00305FFC">
          <w:rPr>
            <w:rStyle w:val="Hyperlink"/>
          </w:rPr>
          <w:t>https://eacea.ec.</w:t>
        </w:r>
        <w:r w:rsidR="00C16B07" w:rsidRPr="00305FFC">
          <w:rPr>
            <w:rStyle w:val="Hyperlink"/>
          </w:rPr>
          <w:t>euro</w:t>
        </w:r>
        <w:r w:rsidRPr="00305FFC">
          <w:rPr>
            <w:rStyle w:val="Hyperlink"/>
          </w:rPr>
          <w:t>pa.eu/national-policies/eurydice/content/higher-education-funding-53_en</w:t>
        </w:r>
      </w:hyperlink>
      <w:r w:rsidRPr="00305FFC">
        <w:t xml:space="preserve"> </w:t>
      </w:r>
    </w:p>
  </w:footnote>
  <w:footnote w:id="53">
    <w:p w14:paraId="13B0BB05" w14:textId="2B95D3F6" w:rsidR="00E771A9" w:rsidRPr="002A7D65" w:rsidRDefault="00E771A9" w:rsidP="00E771A9">
      <w:pPr>
        <w:pStyle w:val="FootnoteText"/>
      </w:pPr>
      <w:r w:rsidRPr="00305FFC">
        <w:rPr>
          <w:rStyle w:val="FootnoteReference"/>
        </w:rPr>
        <w:footnoteRef/>
      </w:r>
      <w:r w:rsidRPr="00305FFC">
        <w:t xml:space="preserve"> </w:t>
      </w:r>
      <w:hyperlink r:id="rId38" w:history="1">
        <w:r w:rsidRPr="00305FFC">
          <w:rPr>
            <w:rStyle w:val="Hyperlink"/>
          </w:rPr>
          <w:t xml:space="preserve">National student </w:t>
        </w:r>
        <w:proofErr w:type="spellStart"/>
        <w:r w:rsidRPr="00305FFC">
          <w:rPr>
            <w:rStyle w:val="Hyperlink"/>
          </w:rPr>
          <w:t>fee</w:t>
        </w:r>
        <w:proofErr w:type="spellEnd"/>
        <w:r w:rsidRPr="00305FFC">
          <w:rPr>
            <w:rStyle w:val="Hyperlink"/>
          </w:rPr>
          <w:t xml:space="preserve"> </w:t>
        </w:r>
        <w:proofErr w:type="spellStart"/>
        <w:r w:rsidRPr="00305FFC">
          <w:rPr>
            <w:rStyle w:val="Hyperlink"/>
          </w:rPr>
          <w:t>and</w:t>
        </w:r>
        <w:proofErr w:type="spellEnd"/>
        <w:r w:rsidRPr="00305FFC">
          <w:rPr>
            <w:rStyle w:val="Hyperlink"/>
          </w:rPr>
          <w:t xml:space="preserve"> </w:t>
        </w:r>
        <w:proofErr w:type="spellStart"/>
        <w:r w:rsidRPr="00305FFC">
          <w:rPr>
            <w:rStyle w:val="Hyperlink"/>
          </w:rPr>
          <w:t>support</w:t>
        </w:r>
        <w:proofErr w:type="spellEnd"/>
        <w:r w:rsidRPr="00305FFC">
          <w:rPr>
            <w:rStyle w:val="Hyperlink"/>
          </w:rPr>
          <w:t xml:space="preserve"> </w:t>
        </w:r>
        <w:proofErr w:type="spellStart"/>
        <w:r w:rsidRPr="00305FFC">
          <w:rPr>
            <w:rStyle w:val="Hyperlink"/>
          </w:rPr>
          <w:t>systems</w:t>
        </w:r>
        <w:proofErr w:type="spellEnd"/>
        <w:r w:rsidRPr="00305FFC">
          <w:rPr>
            <w:rStyle w:val="Hyperlink"/>
          </w:rPr>
          <w:t xml:space="preserve"> </w:t>
        </w:r>
        <w:proofErr w:type="spellStart"/>
        <w:r w:rsidRPr="00305FFC">
          <w:rPr>
            <w:rStyle w:val="Hyperlink"/>
          </w:rPr>
          <w:t>in</w:t>
        </w:r>
        <w:proofErr w:type="spellEnd"/>
        <w:r w:rsidRPr="00305FFC">
          <w:rPr>
            <w:rStyle w:val="Hyperlink"/>
          </w:rPr>
          <w:t xml:space="preserve"> </w:t>
        </w:r>
        <w:proofErr w:type="spellStart"/>
        <w:r w:rsidR="00C16B07" w:rsidRPr="00305FFC">
          <w:rPr>
            <w:rStyle w:val="Hyperlink"/>
          </w:rPr>
          <w:t>Euro</w:t>
        </w:r>
        <w:r w:rsidRPr="00305FFC">
          <w:rPr>
            <w:rStyle w:val="Hyperlink"/>
          </w:rPr>
          <w:t>pean</w:t>
        </w:r>
        <w:proofErr w:type="spellEnd"/>
        <w:r w:rsidRPr="00305FFC">
          <w:rPr>
            <w:rStyle w:val="Hyperlink"/>
          </w:rPr>
          <w:t xml:space="preserve"> </w:t>
        </w:r>
        <w:proofErr w:type="spellStart"/>
        <w:r w:rsidRPr="00305FFC">
          <w:rPr>
            <w:rStyle w:val="Hyperlink"/>
          </w:rPr>
          <w:t>higher</w:t>
        </w:r>
        <w:proofErr w:type="spellEnd"/>
        <w:r w:rsidRPr="00305FFC">
          <w:rPr>
            <w:rStyle w:val="Hyperlink"/>
          </w:rPr>
          <w:t xml:space="preserve"> </w:t>
        </w:r>
        <w:proofErr w:type="spellStart"/>
        <w:r w:rsidRPr="00305FFC">
          <w:rPr>
            <w:rStyle w:val="Hyperlink"/>
          </w:rPr>
          <w:t>education</w:t>
        </w:r>
        <w:proofErr w:type="spellEnd"/>
        <w:r w:rsidRPr="00305FFC">
          <w:rPr>
            <w:rStyle w:val="Hyperlink"/>
          </w:rPr>
          <w:t xml:space="preserve"> - </w:t>
        </w:r>
        <w:proofErr w:type="spellStart"/>
        <w:r w:rsidRPr="00305FFC">
          <w:rPr>
            <w:rStyle w:val="Hyperlink"/>
          </w:rPr>
          <w:t>Publications</w:t>
        </w:r>
        <w:proofErr w:type="spellEnd"/>
        <w:r w:rsidRPr="00305FFC">
          <w:rPr>
            <w:rStyle w:val="Hyperlink"/>
          </w:rPr>
          <w:t xml:space="preserve"> Office </w:t>
        </w:r>
        <w:proofErr w:type="spellStart"/>
        <w:r w:rsidRPr="00305FFC">
          <w:rPr>
            <w:rStyle w:val="Hyperlink"/>
          </w:rPr>
          <w:t>of</w:t>
        </w:r>
        <w:proofErr w:type="spellEnd"/>
        <w:r w:rsidRPr="00305FFC">
          <w:rPr>
            <w:rStyle w:val="Hyperlink"/>
          </w:rPr>
          <w:t xml:space="preserve"> </w:t>
        </w:r>
        <w:proofErr w:type="spellStart"/>
        <w:r w:rsidRPr="00305FFC">
          <w:rPr>
            <w:rStyle w:val="Hyperlink"/>
          </w:rPr>
          <w:t>the</w:t>
        </w:r>
        <w:proofErr w:type="spellEnd"/>
        <w:r w:rsidRPr="00305FFC">
          <w:rPr>
            <w:rStyle w:val="Hyperlink"/>
          </w:rPr>
          <w:t xml:space="preserve"> EU (</w:t>
        </w:r>
        <w:r w:rsidR="00C16B07" w:rsidRPr="00305FFC">
          <w:rPr>
            <w:rStyle w:val="Hyperlink"/>
          </w:rPr>
          <w:t>euro</w:t>
        </w:r>
        <w:r w:rsidRPr="00305FFC">
          <w:rPr>
            <w:rStyle w:val="Hyperlink"/>
          </w:rPr>
          <w:t>pa.eu)</w:t>
        </w:r>
      </w:hyperlink>
    </w:p>
  </w:footnote>
  <w:footnote w:id="54">
    <w:p w14:paraId="7E036D61" w14:textId="77777777" w:rsidR="00E771A9" w:rsidRPr="002A7D65" w:rsidRDefault="00E771A9" w:rsidP="00E771A9">
      <w:pPr>
        <w:pStyle w:val="FootnoteText"/>
      </w:pPr>
      <w:r w:rsidRPr="002A7D65">
        <w:rPr>
          <w:rStyle w:val="FootnoteReference"/>
        </w:rPr>
        <w:footnoteRef/>
      </w:r>
      <w:r w:rsidRPr="002A7D65">
        <w:t xml:space="preserve"> </w:t>
      </w:r>
      <w:proofErr w:type="spellStart"/>
      <w:r w:rsidRPr="002A7D65">
        <w:t>Usher</w:t>
      </w:r>
      <w:proofErr w:type="spellEnd"/>
      <w:r w:rsidRPr="002A7D65">
        <w:t xml:space="preserve"> &amp; </w:t>
      </w:r>
      <w:proofErr w:type="spellStart"/>
      <w:r w:rsidRPr="002A7D65">
        <w:t>Ramos</w:t>
      </w:r>
      <w:proofErr w:type="spellEnd"/>
      <w:r w:rsidRPr="002A7D65">
        <w:t xml:space="preserve">, 2018, </w:t>
      </w:r>
      <w:proofErr w:type="spellStart"/>
      <w:r w:rsidRPr="002A7D65">
        <w:t>The</w:t>
      </w:r>
      <w:proofErr w:type="spellEnd"/>
      <w:r w:rsidRPr="002A7D65">
        <w:t xml:space="preserve"> </w:t>
      </w:r>
      <w:proofErr w:type="spellStart"/>
      <w:r w:rsidRPr="002A7D65">
        <w:t>changing</w:t>
      </w:r>
      <w:proofErr w:type="spellEnd"/>
      <w:r w:rsidRPr="002A7D65">
        <w:t xml:space="preserve"> </w:t>
      </w:r>
      <w:proofErr w:type="spellStart"/>
      <w:r w:rsidRPr="002A7D65">
        <w:t>finances</w:t>
      </w:r>
      <w:proofErr w:type="spellEnd"/>
      <w:r w:rsidRPr="002A7D65">
        <w:t xml:space="preserve"> </w:t>
      </w:r>
      <w:proofErr w:type="spellStart"/>
      <w:r w:rsidRPr="002A7D65">
        <w:t>of</w:t>
      </w:r>
      <w:proofErr w:type="spellEnd"/>
      <w:r w:rsidRPr="002A7D65">
        <w:t xml:space="preserve"> </w:t>
      </w:r>
      <w:proofErr w:type="spellStart"/>
      <w:r w:rsidRPr="002A7D65">
        <w:t>world-class</w:t>
      </w:r>
      <w:proofErr w:type="spellEnd"/>
      <w:r w:rsidRPr="002A7D65">
        <w:t xml:space="preserve"> </w:t>
      </w:r>
      <w:proofErr w:type="spellStart"/>
      <w:r w:rsidRPr="002A7D65">
        <w:t>universities</w:t>
      </w:r>
      <w:proofErr w:type="spellEnd"/>
      <w:r w:rsidRPr="002A7D65">
        <w:t xml:space="preserve"> </w:t>
      </w:r>
      <w:hyperlink r:id="rId39" w:history="1">
        <w:r w:rsidRPr="002A7D65">
          <w:rPr>
            <w:rStyle w:val="Hyperlink"/>
          </w:rPr>
          <w:t>https://www.researchcghe.org/publications/working-paper/the-changing-finances-of-world-class-universities/</w:t>
        </w:r>
      </w:hyperlink>
      <w:r w:rsidRPr="002A7D65">
        <w:t xml:space="preserve">  </w:t>
      </w:r>
    </w:p>
  </w:footnote>
  <w:footnote w:id="55">
    <w:p w14:paraId="648815C7" w14:textId="77777777" w:rsidR="00E771A9" w:rsidRPr="002A7D65" w:rsidRDefault="00E771A9" w:rsidP="00E771A9">
      <w:pPr>
        <w:pStyle w:val="FootnoteText"/>
      </w:pPr>
      <w:r w:rsidRPr="002A7D65">
        <w:rPr>
          <w:rStyle w:val="FootnoteReference"/>
        </w:rPr>
        <w:footnoteRef/>
      </w:r>
      <w:r w:rsidRPr="002A7D65">
        <w:t xml:space="preserve"> </w:t>
      </w:r>
      <w:proofErr w:type="spellStart"/>
      <w:r w:rsidRPr="002A7D65">
        <w:t>Jongbloed</w:t>
      </w:r>
      <w:proofErr w:type="spellEnd"/>
      <w:r w:rsidRPr="002A7D65">
        <w:t xml:space="preserve"> </w:t>
      </w:r>
      <w:proofErr w:type="spellStart"/>
      <w:r w:rsidRPr="002A7D65">
        <w:t>et</w:t>
      </w:r>
      <w:proofErr w:type="spellEnd"/>
      <w:r w:rsidRPr="002A7D65">
        <w:t xml:space="preserve"> </w:t>
      </w:r>
      <w:proofErr w:type="spellStart"/>
      <w:r w:rsidRPr="002A7D65">
        <w:t>al</w:t>
      </w:r>
      <w:proofErr w:type="spellEnd"/>
      <w:r w:rsidRPr="002A7D65">
        <w:t xml:space="preserve">, 2019, </w:t>
      </w:r>
      <w:proofErr w:type="spellStart"/>
      <w:r w:rsidRPr="002A7D65">
        <w:t>Improving</w:t>
      </w:r>
      <w:proofErr w:type="spellEnd"/>
      <w:r w:rsidRPr="002A7D65">
        <w:t xml:space="preserve"> </w:t>
      </w:r>
      <w:proofErr w:type="spellStart"/>
      <w:r w:rsidRPr="002A7D65">
        <w:t>study</w:t>
      </w:r>
      <w:proofErr w:type="spellEnd"/>
      <w:r w:rsidRPr="002A7D65">
        <w:t xml:space="preserve"> </w:t>
      </w:r>
      <w:proofErr w:type="spellStart"/>
      <w:r w:rsidRPr="002A7D65">
        <w:t>success</w:t>
      </w:r>
      <w:proofErr w:type="spellEnd"/>
      <w:r w:rsidRPr="002A7D65">
        <w:t xml:space="preserve"> </w:t>
      </w:r>
      <w:proofErr w:type="spellStart"/>
      <w:r w:rsidRPr="002A7D65">
        <w:t>and</w:t>
      </w:r>
      <w:proofErr w:type="spellEnd"/>
      <w:r w:rsidRPr="002A7D65">
        <w:t xml:space="preserve"> </w:t>
      </w:r>
      <w:proofErr w:type="spellStart"/>
      <w:r w:rsidRPr="002A7D65">
        <w:t>diversity</w:t>
      </w:r>
      <w:proofErr w:type="spellEnd"/>
      <w:r w:rsidRPr="002A7D65">
        <w:t xml:space="preserve"> </w:t>
      </w:r>
      <w:proofErr w:type="spellStart"/>
      <w:r w:rsidRPr="002A7D65">
        <w:t>in</w:t>
      </w:r>
      <w:proofErr w:type="spellEnd"/>
      <w:r w:rsidRPr="002A7D65">
        <w:t xml:space="preserve"> Dutch </w:t>
      </w:r>
      <w:proofErr w:type="spellStart"/>
      <w:r w:rsidRPr="002A7D65">
        <w:t>higher</w:t>
      </w:r>
      <w:proofErr w:type="spellEnd"/>
      <w:r w:rsidRPr="002A7D65">
        <w:t xml:space="preserve"> </w:t>
      </w:r>
      <w:proofErr w:type="spellStart"/>
      <w:r w:rsidRPr="002A7D65">
        <w:t>education</w:t>
      </w:r>
      <w:proofErr w:type="spellEnd"/>
      <w:r w:rsidRPr="002A7D65">
        <w:t xml:space="preserve"> </w:t>
      </w:r>
      <w:proofErr w:type="spellStart"/>
      <w:r w:rsidRPr="002A7D65">
        <w:t>using</w:t>
      </w:r>
      <w:proofErr w:type="spellEnd"/>
      <w:r w:rsidRPr="002A7D65">
        <w:t xml:space="preserve"> performance </w:t>
      </w:r>
      <w:proofErr w:type="spellStart"/>
      <w:r w:rsidRPr="002A7D65">
        <w:t>agreements</w:t>
      </w:r>
      <w:proofErr w:type="spellEnd"/>
      <w:r w:rsidRPr="002A7D65">
        <w:t xml:space="preserve">  </w:t>
      </w:r>
      <w:hyperlink r:id="rId40" w:history="1">
        <w:r w:rsidRPr="002A7D65">
          <w:rPr>
            <w:rStyle w:val="Hyperlink"/>
          </w:rPr>
          <w:t>https://link-springer-com.ezp-prod1.hul.harvard.edu/article/10.1007/s11233-019-09055-8</w:t>
        </w:r>
      </w:hyperlink>
      <w:r w:rsidRPr="002A7D65">
        <w:t xml:space="preserve">  </w:t>
      </w:r>
    </w:p>
  </w:footnote>
  <w:footnote w:id="56">
    <w:p w14:paraId="53B850BA" w14:textId="77777777" w:rsidR="00E771A9" w:rsidRPr="002A7D65" w:rsidRDefault="00E771A9" w:rsidP="00E771A9">
      <w:pPr>
        <w:pStyle w:val="FootnoteText"/>
      </w:pPr>
      <w:r w:rsidRPr="002A7D65">
        <w:rPr>
          <w:rStyle w:val="FootnoteReference"/>
        </w:rPr>
        <w:footnoteRef/>
      </w:r>
      <w:r w:rsidRPr="002A7D65">
        <w:t xml:space="preserve"> </w:t>
      </w:r>
      <w:proofErr w:type="spellStart"/>
      <w:r w:rsidRPr="002A7D65">
        <w:t>Jongbloed</w:t>
      </w:r>
      <w:proofErr w:type="spellEnd"/>
      <w:r w:rsidRPr="002A7D65">
        <w:t xml:space="preserve"> </w:t>
      </w:r>
      <w:proofErr w:type="spellStart"/>
      <w:r w:rsidRPr="002A7D65">
        <w:t>et</w:t>
      </w:r>
      <w:proofErr w:type="spellEnd"/>
      <w:r w:rsidRPr="002A7D65">
        <w:t xml:space="preserve"> </w:t>
      </w:r>
      <w:proofErr w:type="spellStart"/>
      <w:r w:rsidRPr="002A7D65">
        <w:t>al</w:t>
      </w:r>
      <w:proofErr w:type="spellEnd"/>
      <w:r w:rsidRPr="002A7D65">
        <w:t xml:space="preserve">, 2019, </w:t>
      </w:r>
      <w:proofErr w:type="spellStart"/>
      <w:r w:rsidRPr="002A7D65">
        <w:t>Improving</w:t>
      </w:r>
      <w:proofErr w:type="spellEnd"/>
      <w:r w:rsidRPr="002A7D65">
        <w:t xml:space="preserve"> </w:t>
      </w:r>
      <w:proofErr w:type="spellStart"/>
      <w:r w:rsidRPr="002A7D65">
        <w:t>study</w:t>
      </w:r>
      <w:proofErr w:type="spellEnd"/>
      <w:r w:rsidRPr="002A7D65">
        <w:t xml:space="preserve"> </w:t>
      </w:r>
      <w:proofErr w:type="spellStart"/>
      <w:r w:rsidRPr="002A7D65">
        <w:t>success</w:t>
      </w:r>
      <w:proofErr w:type="spellEnd"/>
      <w:r w:rsidRPr="002A7D65">
        <w:t xml:space="preserve"> </w:t>
      </w:r>
      <w:proofErr w:type="spellStart"/>
      <w:r w:rsidRPr="002A7D65">
        <w:t>and</w:t>
      </w:r>
      <w:proofErr w:type="spellEnd"/>
      <w:r w:rsidRPr="002A7D65">
        <w:t xml:space="preserve"> </w:t>
      </w:r>
      <w:proofErr w:type="spellStart"/>
      <w:r w:rsidRPr="002A7D65">
        <w:t>diversity</w:t>
      </w:r>
      <w:proofErr w:type="spellEnd"/>
      <w:r w:rsidRPr="002A7D65">
        <w:t xml:space="preserve"> </w:t>
      </w:r>
      <w:proofErr w:type="spellStart"/>
      <w:r w:rsidRPr="002A7D65">
        <w:t>in</w:t>
      </w:r>
      <w:proofErr w:type="spellEnd"/>
      <w:r w:rsidRPr="002A7D65">
        <w:t xml:space="preserve"> Dutch </w:t>
      </w:r>
      <w:proofErr w:type="spellStart"/>
      <w:r w:rsidRPr="002A7D65">
        <w:t>higher</w:t>
      </w:r>
      <w:proofErr w:type="spellEnd"/>
      <w:r w:rsidRPr="002A7D65">
        <w:t xml:space="preserve"> </w:t>
      </w:r>
      <w:proofErr w:type="spellStart"/>
      <w:r w:rsidRPr="002A7D65">
        <w:t>education</w:t>
      </w:r>
      <w:proofErr w:type="spellEnd"/>
      <w:r w:rsidRPr="002A7D65">
        <w:t xml:space="preserve"> </w:t>
      </w:r>
      <w:proofErr w:type="spellStart"/>
      <w:r w:rsidRPr="002A7D65">
        <w:t>using</w:t>
      </w:r>
      <w:proofErr w:type="spellEnd"/>
      <w:r w:rsidRPr="002A7D65">
        <w:t xml:space="preserve"> performance </w:t>
      </w:r>
      <w:proofErr w:type="spellStart"/>
      <w:r w:rsidRPr="002A7D65">
        <w:t>agreements</w:t>
      </w:r>
      <w:proofErr w:type="spellEnd"/>
      <w:r w:rsidRPr="002A7D65">
        <w:t xml:space="preserve">  </w:t>
      </w:r>
      <w:hyperlink r:id="rId41" w:history="1">
        <w:r w:rsidRPr="002A7D65">
          <w:rPr>
            <w:rStyle w:val="Hyperlink"/>
          </w:rPr>
          <w:t>https://link-springer-com.ezp-prod1.hul.harvard.edu/article/10.1007/s11233-019-09055-8</w:t>
        </w:r>
      </w:hyperlink>
      <w:r w:rsidRPr="002A7D65">
        <w:t xml:space="preserve"> </w:t>
      </w:r>
    </w:p>
  </w:footnote>
  <w:footnote w:id="57">
    <w:p w14:paraId="60FDDCD0" w14:textId="77777777" w:rsidR="00E771A9" w:rsidRPr="002A7D65" w:rsidRDefault="00E771A9" w:rsidP="00E771A9">
      <w:pPr>
        <w:pStyle w:val="FootnoteText"/>
      </w:pPr>
      <w:r w:rsidRPr="002A7D65">
        <w:rPr>
          <w:rStyle w:val="FootnoteReference"/>
        </w:rPr>
        <w:footnoteRef/>
      </w:r>
      <w:r w:rsidRPr="002A7D65">
        <w:t xml:space="preserve"> </w:t>
      </w:r>
      <w:proofErr w:type="spellStart"/>
      <w:r w:rsidRPr="002A7D65">
        <w:t>Jongloed</w:t>
      </w:r>
      <w:proofErr w:type="spellEnd"/>
      <w:r w:rsidRPr="002A7D65">
        <w:t xml:space="preserve"> &amp; </w:t>
      </w:r>
      <w:proofErr w:type="spellStart"/>
      <w:r w:rsidRPr="002A7D65">
        <w:t>de</w:t>
      </w:r>
      <w:proofErr w:type="spellEnd"/>
      <w:r w:rsidRPr="002A7D65">
        <w:t xml:space="preserve"> </w:t>
      </w:r>
      <w:proofErr w:type="spellStart"/>
      <w:r w:rsidRPr="002A7D65">
        <w:t>Boer</w:t>
      </w:r>
      <w:proofErr w:type="spellEnd"/>
      <w:r w:rsidRPr="002A7D65">
        <w:t xml:space="preserve">, 2020, Performance </w:t>
      </w:r>
      <w:proofErr w:type="spellStart"/>
      <w:r w:rsidRPr="002A7D65">
        <w:t>Agreements</w:t>
      </w:r>
      <w:proofErr w:type="spellEnd"/>
      <w:r w:rsidRPr="002A7D65">
        <w:t xml:space="preserve"> </w:t>
      </w:r>
      <w:proofErr w:type="spellStart"/>
      <w:r w:rsidRPr="002A7D65">
        <w:t>in</w:t>
      </w:r>
      <w:proofErr w:type="spellEnd"/>
      <w:r w:rsidRPr="002A7D65">
        <w:t xml:space="preserve"> </w:t>
      </w:r>
      <w:proofErr w:type="spellStart"/>
      <w:r w:rsidRPr="002A7D65">
        <w:t>Denmark</w:t>
      </w:r>
      <w:proofErr w:type="spellEnd"/>
      <w:r w:rsidRPr="002A7D65">
        <w:t xml:space="preserve">, </w:t>
      </w:r>
      <w:proofErr w:type="spellStart"/>
      <w:r w:rsidRPr="002A7D65">
        <w:t>Ontario</w:t>
      </w:r>
      <w:proofErr w:type="spellEnd"/>
      <w:r w:rsidRPr="002A7D65">
        <w:t xml:space="preserve"> </w:t>
      </w:r>
      <w:proofErr w:type="spellStart"/>
      <w:r w:rsidRPr="002A7D65">
        <w:t>and</w:t>
      </w:r>
      <w:proofErr w:type="spellEnd"/>
      <w:r w:rsidRPr="002A7D65">
        <w:t xml:space="preserve"> </w:t>
      </w:r>
      <w:proofErr w:type="spellStart"/>
      <w:r w:rsidRPr="002A7D65">
        <w:t>the</w:t>
      </w:r>
      <w:proofErr w:type="spellEnd"/>
      <w:r w:rsidRPr="002A7D65">
        <w:t xml:space="preserve"> </w:t>
      </w:r>
      <w:proofErr w:type="spellStart"/>
      <w:r w:rsidRPr="002A7D65">
        <w:t>Netherlands</w:t>
      </w:r>
      <w:proofErr w:type="spellEnd"/>
      <w:r w:rsidRPr="002A7D65">
        <w:t xml:space="preserve"> </w:t>
      </w:r>
      <w:hyperlink r:id="rId42" w:history="1">
        <w:r w:rsidRPr="002A7D65">
          <w:rPr>
            <w:rStyle w:val="Hyperlink"/>
          </w:rPr>
          <w:t>https://www.utwente.nl/.uc/fb4d9b0ec010286e10701e8eb5e02729889105c7c7dc000/Performance%20Agreements%20in%20DK%2C%20ONT%20and%20NL.pdf</w:t>
        </w:r>
      </w:hyperlink>
      <w:r w:rsidRPr="002A7D65">
        <w:t xml:space="preserve"> </w:t>
      </w:r>
    </w:p>
  </w:footnote>
  <w:footnote w:id="58">
    <w:p w14:paraId="060D1153" w14:textId="77777777" w:rsidR="00E771A9" w:rsidRPr="002A7D65" w:rsidRDefault="00E771A9" w:rsidP="00E771A9">
      <w:pPr>
        <w:pStyle w:val="FootnoteText"/>
      </w:pPr>
      <w:r w:rsidRPr="002A7D65">
        <w:rPr>
          <w:rStyle w:val="FootnoteReference"/>
        </w:rPr>
        <w:footnoteRef/>
      </w:r>
      <w:r w:rsidRPr="002A7D65">
        <w:t xml:space="preserve"> </w:t>
      </w:r>
      <w:proofErr w:type="spellStart"/>
      <w:r w:rsidRPr="002A7D65">
        <w:t>Ibid</w:t>
      </w:r>
      <w:proofErr w:type="spellEnd"/>
    </w:p>
  </w:footnote>
  <w:footnote w:id="59">
    <w:p w14:paraId="3E5E56FF" w14:textId="77777777" w:rsidR="00E771A9" w:rsidRPr="002A7D65" w:rsidRDefault="00E771A9" w:rsidP="00E771A9">
      <w:pPr>
        <w:pStyle w:val="FootnoteText"/>
      </w:pPr>
      <w:r w:rsidRPr="002A7D65">
        <w:rPr>
          <w:rStyle w:val="FootnoteReference"/>
        </w:rPr>
        <w:footnoteRef/>
      </w:r>
      <w:r w:rsidRPr="002A7D65">
        <w:t xml:space="preserve"> Salmi, 2009, </w:t>
      </w:r>
      <w:proofErr w:type="spellStart"/>
      <w:r w:rsidRPr="002A7D65">
        <w:t>The</w:t>
      </w:r>
      <w:proofErr w:type="spellEnd"/>
      <w:r w:rsidRPr="002A7D65">
        <w:t xml:space="preserve"> </w:t>
      </w:r>
      <w:proofErr w:type="spellStart"/>
      <w:r w:rsidRPr="002A7D65">
        <w:t>Challenge</w:t>
      </w:r>
      <w:proofErr w:type="spellEnd"/>
      <w:r w:rsidRPr="002A7D65">
        <w:t xml:space="preserve"> </w:t>
      </w:r>
      <w:proofErr w:type="spellStart"/>
      <w:r w:rsidRPr="002A7D65">
        <w:t>of</w:t>
      </w:r>
      <w:proofErr w:type="spellEnd"/>
      <w:r w:rsidRPr="002A7D65">
        <w:t xml:space="preserve"> </w:t>
      </w:r>
      <w:proofErr w:type="spellStart"/>
      <w:r w:rsidRPr="002A7D65">
        <w:t>Establishing</w:t>
      </w:r>
      <w:proofErr w:type="spellEnd"/>
      <w:r w:rsidRPr="002A7D65">
        <w:t xml:space="preserve"> </w:t>
      </w:r>
      <w:proofErr w:type="spellStart"/>
      <w:r w:rsidRPr="002A7D65">
        <w:t>World-Class</w:t>
      </w:r>
      <w:proofErr w:type="spellEnd"/>
      <w:r w:rsidRPr="002A7D65">
        <w:t xml:space="preserve"> </w:t>
      </w:r>
      <w:proofErr w:type="spellStart"/>
      <w:r w:rsidRPr="002A7D65">
        <w:t>Universities</w:t>
      </w:r>
      <w:proofErr w:type="spellEnd"/>
      <w:r w:rsidRPr="002A7D65">
        <w:t xml:space="preserve"> </w:t>
      </w:r>
      <w:hyperlink r:id="rId43" w:history="1">
        <w:r w:rsidRPr="002A7D65">
          <w:rPr>
            <w:rStyle w:val="Hyperlink"/>
          </w:rPr>
          <w:t>https://openknowledge.worldbank.org/handle/10986/2600</w:t>
        </w:r>
      </w:hyperlink>
      <w:r w:rsidRPr="002A7D65">
        <w:t xml:space="preserve"> </w:t>
      </w:r>
    </w:p>
  </w:footnote>
  <w:footnote w:id="60">
    <w:p w14:paraId="443C572B" w14:textId="77777777" w:rsidR="00E771A9" w:rsidRPr="00305FFC" w:rsidRDefault="00E771A9" w:rsidP="00E771A9">
      <w:pPr>
        <w:pStyle w:val="FootnoteText"/>
      </w:pPr>
      <w:r w:rsidRPr="002A7D65">
        <w:rPr>
          <w:rStyle w:val="FootnoteReference"/>
        </w:rPr>
        <w:footnoteRef/>
      </w:r>
      <w:r w:rsidRPr="002A7D65">
        <w:t xml:space="preserve"> </w:t>
      </w:r>
      <w:proofErr w:type="spellStart"/>
      <w:r w:rsidRPr="002A7D65">
        <w:t>Ibid</w:t>
      </w:r>
      <w:proofErr w:type="spellEnd"/>
    </w:p>
  </w:footnote>
  <w:footnote w:id="61">
    <w:p w14:paraId="59E8E0FD" w14:textId="1E285AE8" w:rsidR="00E771A9" w:rsidRPr="002A7D65" w:rsidRDefault="00E771A9" w:rsidP="00E771A9">
      <w:pPr>
        <w:pStyle w:val="FootnoteText"/>
      </w:pPr>
      <w:r w:rsidRPr="00305FFC">
        <w:rPr>
          <w:rStyle w:val="FootnoteReference"/>
        </w:rPr>
        <w:footnoteRef/>
      </w:r>
      <w:r w:rsidRPr="00305FFC">
        <w:t xml:space="preserve"> </w:t>
      </w:r>
      <w:proofErr w:type="spellStart"/>
      <w:r w:rsidRPr="00305FFC">
        <w:t>Pruvot</w:t>
      </w:r>
      <w:proofErr w:type="spellEnd"/>
      <w:r w:rsidRPr="00305FFC">
        <w:t xml:space="preserve"> </w:t>
      </w:r>
      <w:proofErr w:type="spellStart"/>
      <w:r w:rsidRPr="00305FFC">
        <w:t>et</w:t>
      </w:r>
      <w:proofErr w:type="spellEnd"/>
      <w:r w:rsidRPr="00305FFC">
        <w:t xml:space="preserve"> </w:t>
      </w:r>
      <w:proofErr w:type="spellStart"/>
      <w:r w:rsidRPr="00305FFC">
        <w:t>al</w:t>
      </w:r>
      <w:proofErr w:type="spellEnd"/>
      <w:r w:rsidRPr="00305FFC">
        <w:t xml:space="preserve">, 2015, </w:t>
      </w:r>
      <w:proofErr w:type="spellStart"/>
      <w:r w:rsidRPr="00305FFC">
        <w:t>Strategies</w:t>
      </w:r>
      <w:proofErr w:type="spellEnd"/>
      <w:r w:rsidRPr="00305FFC">
        <w:t xml:space="preserve"> </w:t>
      </w:r>
      <w:proofErr w:type="spellStart"/>
      <w:r w:rsidRPr="00305FFC">
        <w:t>for</w:t>
      </w:r>
      <w:proofErr w:type="spellEnd"/>
      <w:r w:rsidRPr="00305FFC">
        <w:t xml:space="preserve"> </w:t>
      </w:r>
      <w:proofErr w:type="spellStart"/>
      <w:r w:rsidRPr="00305FFC">
        <w:t>Efficient</w:t>
      </w:r>
      <w:proofErr w:type="spellEnd"/>
      <w:r w:rsidRPr="00305FFC">
        <w:t xml:space="preserve"> </w:t>
      </w:r>
      <w:proofErr w:type="spellStart"/>
      <w:r w:rsidRPr="00305FFC">
        <w:t>Funding</w:t>
      </w:r>
      <w:proofErr w:type="spellEnd"/>
      <w:r w:rsidRPr="00305FFC">
        <w:t xml:space="preserve"> </w:t>
      </w:r>
      <w:proofErr w:type="spellStart"/>
      <w:r w:rsidRPr="00305FFC">
        <w:t>of</w:t>
      </w:r>
      <w:proofErr w:type="spellEnd"/>
      <w:r w:rsidRPr="00305FFC">
        <w:t xml:space="preserve"> </w:t>
      </w:r>
      <w:proofErr w:type="spellStart"/>
      <w:r w:rsidRPr="00305FFC">
        <w:t>Universities</w:t>
      </w:r>
      <w:proofErr w:type="spellEnd"/>
      <w:r w:rsidRPr="00305FFC">
        <w:t xml:space="preserve"> </w:t>
      </w:r>
      <w:proofErr w:type="spellStart"/>
      <w:r w:rsidRPr="00305FFC">
        <w:t>in</w:t>
      </w:r>
      <w:proofErr w:type="spellEnd"/>
      <w:r w:rsidRPr="00305FFC">
        <w:t xml:space="preserve"> </w:t>
      </w:r>
      <w:proofErr w:type="spellStart"/>
      <w:r w:rsidR="00C16B07" w:rsidRPr="00305FFC">
        <w:t>Euro</w:t>
      </w:r>
      <w:r w:rsidRPr="00305FFC">
        <w:t>pe</w:t>
      </w:r>
      <w:proofErr w:type="spellEnd"/>
      <w:r w:rsidRPr="00305FFC">
        <w:t xml:space="preserve"> </w:t>
      </w:r>
      <w:hyperlink r:id="rId44" w:history="1">
        <w:r w:rsidRPr="00305FFC">
          <w:rPr>
            <w:rStyle w:val="Hyperlink"/>
          </w:rPr>
          <w:t>https://link.springer.com/chapter/10.1007/978-3-319-20877-0_11</w:t>
        </w:r>
      </w:hyperlink>
    </w:p>
  </w:footnote>
  <w:footnote w:id="62">
    <w:p w14:paraId="560C37FB" w14:textId="77777777" w:rsidR="00E771A9" w:rsidRPr="002A7D65" w:rsidRDefault="00E771A9" w:rsidP="00E771A9">
      <w:pPr>
        <w:pStyle w:val="FootnoteText"/>
      </w:pPr>
      <w:r w:rsidRPr="002A7D65">
        <w:rPr>
          <w:rStyle w:val="FootnoteReference"/>
        </w:rPr>
        <w:footnoteRef/>
      </w:r>
      <w:r w:rsidRPr="002A7D65">
        <w:t xml:space="preserve"> Salmi, 2009, </w:t>
      </w:r>
      <w:proofErr w:type="spellStart"/>
      <w:r w:rsidRPr="002A7D65">
        <w:t>The</w:t>
      </w:r>
      <w:proofErr w:type="spellEnd"/>
      <w:r w:rsidRPr="002A7D65">
        <w:t xml:space="preserve"> </w:t>
      </w:r>
      <w:proofErr w:type="spellStart"/>
      <w:r w:rsidRPr="002A7D65">
        <w:t>Challenge</w:t>
      </w:r>
      <w:proofErr w:type="spellEnd"/>
      <w:r w:rsidRPr="002A7D65">
        <w:t xml:space="preserve"> </w:t>
      </w:r>
      <w:proofErr w:type="spellStart"/>
      <w:r w:rsidRPr="002A7D65">
        <w:t>of</w:t>
      </w:r>
      <w:proofErr w:type="spellEnd"/>
      <w:r w:rsidRPr="002A7D65">
        <w:t xml:space="preserve"> </w:t>
      </w:r>
      <w:proofErr w:type="spellStart"/>
      <w:r w:rsidRPr="002A7D65">
        <w:t>Establishing</w:t>
      </w:r>
      <w:proofErr w:type="spellEnd"/>
      <w:r w:rsidRPr="002A7D65">
        <w:t xml:space="preserve"> </w:t>
      </w:r>
      <w:proofErr w:type="spellStart"/>
      <w:r w:rsidRPr="002A7D65">
        <w:t>World-Class</w:t>
      </w:r>
      <w:proofErr w:type="spellEnd"/>
      <w:r w:rsidRPr="002A7D65">
        <w:t xml:space="preserve"> </w:t>
      </w:r>
      <w:proofErr w:type="spellStart"/>
      <w:r w:rsidRPr="002A7D65">
        <w:t>Universities</w:t>
      </w:r>
      <w:proofErr w:type="spellEnd"/>
      <w:r w:rsidRPr="002A7D65">
        <w:t xml:space="preserve"> </w:t>
      </w:r>
      <w:hyperlink r:id="rId45" w:history="1">
        <w:r w:rsidRPr="002A7D65">
          <w:rPr>
            <w:rStyle w:val="Hyperlink"/>
          </w:rPr>
          <w:t>https://openknowledge.worldbank.org/handle/10986/2600</w:t>
        </w:r>
      </w:hyperlink>
      <w:r w:rsidRPr="002A7D65">
        <w:t xml:space="preserve"> </w:t>
      </w:r>
    </w:p>
  </w:footnote>
  <w:footnote w:id="63">
    <w:p w14:paraId="2DCC6B81" w14:textId="77777777" w:rsidR="00E771A9" w:rsidRPr="002A7D65" w:rsidRDefault="00E771A9" w:rsidP="00E771A9">
      <w:pPr>
        <w:pStyle w:val="FootnoteText"/>
        <w:rPr>
          <w:color w:val="0563C1" w:themeColor="hyperlink"/>
          <w:u w:val="single"/>
        </w:rPr>
      </w:pPr>
      <w:r w:rsidRPr="002A7D65">
        <w:rPr>
          <w:rStyle w:val="FootnoteReference"/>
        </w:rPr>
        <w:footnoteRef/>
      </w:r>
      <w:r w:rsidRPr="002A7D65">
        <w:t xml:space="preserve"> Salmi, 2009, </w:t>
      </w:r>
      <w:proofErr w:type="spellStart"/>
      <w:r w:rsidRPr="002A7D65">
        <w:t>The</w:t>
      </w:r>
      <w:proofErr w:type="spellEnd"/>
      <w:r w:rsidRPr="002A7D65">
        <w:t xml:space="preserve"> </w:t>
      </w:r>
      <w:proofErr w:type="spellStart"/>
      <w:r w:rsidRPr="002A7D65">
        <w:t>Challenge</w:t>
      </w:r>
      <w:proofErr w:type="spellEnd"/>
      <w:r w:rsidRPr="002A7D65">
        <w:t xml:space="preserve"> </w:t>
      </w:r>
      <w:proofErr w:type="spellStart"/>
      <w:r w:rsidRPr="002A7D65">
        <w:t>of</w:t>
      </w:r>
      <w:proofErr w:type="spellEnd"/>
      <w:r w:rsidRPr="002A7D65">
        <w:t xml:space="preserve"> </w:t>
      </w:r>
      <w:proofErr w:type="spellStart"/>
      <w:r w:rsidRPr="002A7D65">
        <w:t>Establishing</w:t>
      </w:r>
      <w:proofErr w:type="spellEnd"/>
      <w:r w:rsidRPr="002A7D65">
        <w:t xml:space="preserve"> </w:t>
      </w:r>
      <w:proofErr w:type="spellStart"/>
      <w:r w:rsidRPr="002A7D65">
        <w:t>World-Class</w:t>
      </w:r>
      <w:proofErr w:type="spellEnd"/>
      <w:r w:rsidRPr="002A7D65">
        <w:t xml:space="preserve"> </w:t>
      </w:r>
      <w:proofErr w:type="spellStart"/>
      <w:r w:rsidRPr="002A7D65">
        <w:t>Universities</w:t>
      </w:r>
      <w:proofErr w:type="spellEnd"/>
      <w:r w:rsidRPr="002A7D65">
        <w:t xml:space="preserve"> </w:t>
      </w:r>
      <w:hyperlink r:id="rId46" w:history="1">
        <w:r w:rsidRPr="002A7D65">
          <w:rPr>
            <w:rStyle w:val="Hyperlink"/>
          </w:rPr>
          <w:t>https://openknowledge.worldbank.org/handle/10986/2600</w:t>
        </w:r>
      </w:hyperlink>
    </w:p>
  </w:footnote>
  <w:footnote w:id="64">
    <w:p w14:paraId="16450D1B" w14:textId="77777777" w:rsidR="00E771A9" w:rsidRPr="002A7D65" w:rsidRDefault="00E771A9" w:rsidP="00E771A9">
      <w:pPr>
        <w:pStyle w:val="FootnoteText"/>
      </w:pPr>
      <w:r w:rsidRPr="002A7D65">
        <w:rPr>
          <w:rStyle w:val="FootnoteReference"/>
        </w:rPr>
        <w:footnoteRef/>
      </w:r>
      <w:r w:rsidRPr="002A7D65">
        <w:t xml:space="preserve"> Melo &amp; </w:t>
      </w:r>
      <w:proofErr w:type="spellStart"/>
      <w:r w:rsidRPr="002A7D65">
        <w:t>Figueiredo</w:t>
      </w:r>
      <w:proofErr w:type="spellEnd"/>
      <w:r w:rsidRPr="002A7D65">
        <w:t xml:space="preserve">, 2019, Performance </w:t>
      </w:r>
      <w:proofErr w:type="spellStart"/>
      <w:r w:rsidRPr="002A7D65">
        <w:t>management</w:t>
      </w:r>
      <w:proofErr w:type="spellEnd"/>
      <w:r w:rsidRPr="002A7D65">
        <w:t xml:space="preserve"> </w:t>
      </w:r>
      <w:proofErr w:type="spellStart"/>
      <w:r w:rsidRPr="002A7D65">
        <w:t>and</w:t>
      </w:r>
      <w:proofErr w:type="spellEnd"/>
      <w:r w:rsidRPr="002A7D65">
        <w:t xml:space="preserve"> </w:t>
      </w:r>
      <w:proofErr w:type="spellStart"/>
      <w:r w:rsidRPr="002A7D65">
        <w:t>diversity</w:t>
      </w:r>
      <w:proofErr w:type="spellEnd"/>
      <w:r w:rsidRPr="002A7D65">
        <w:t xml:space="preserve"> </w:t>
      </w:r>
      <w:proofErr w:type="spellStart"/>
      <w:r w:rsidRPr="002A7D65">
        <w:t>in</w:t>
      </w:r>
      <w:proofErr w:type="spellEnd"/>
      <w:r w:rsidRPr="002A7D65">
        <w:t xml:space="preserve"> </w:t>
      </w:r>
      <w:proofErr w:type="spellStart"/>
      <w:r w:rsidRPr="002A7D65">
        <w:t>higher</w:t>
      </w:r>
      <w:proofErr w:type="spellEnd"/>
      <w:r w:rsidRPr="002A7D65">
        <w:t xml:space="preserve"> </w:t>
      </w:r>
      <w:proofErr w:type="spellStart"/>
      <w:r w:rsidRPr="002A7D65">
        <w:t>education</w:t>
      </w:r>
      <w:proofErr w:type="spellEnd"/>
      <w:r w:rsidRPr="002A7D65">
        <w:t xml:space="preserve">: </w:t>
      </w:r>
      <w:proofErr w:type="spellStart"/>
      <w:r w:rsidRPr="002A7D65">
        <w:t>an</w:t>
      </w:r>
      <w:proofErr w:type="spellEnd"/>
      <w:r w:rsidRPr="002A7D65">
        <w:t xml:space="preserve"> </w:t>
      </w:r>
      <w:proofErr w:type="spellStart"/>
      <w:r w:rsidRPr="002A7D65">
        <w:t>introduction</w:t>
      </w:r>
      <w:proofErr w:type="spellEnd"/>
      <w:r w:rsidRPr="002A7D65">
        <w:t xml:space="preserve"> </w:t>
      </w:r>
      <w:hyperlink r:id="rId47" w:history="1">
        <w:r w:rsidRPr="002A7D65">
          <w:rPr>
            <w:rStyle w:val="Hyperlink"/>
          </w:rPr>
          <w:t>https://link.springer.com/article/10.1007%2Fs11233-019-09044-x</w:t>
        </w:r>
      </w:hyperlink>
    </w:p>
  </w:footnote>
  <w:footnote w:id="65">
    <w:p w14:paraId="72148518" w14:textId="77777777" w:rsidR="00E771A9" w:rsidRPr="002A7D65" w:rsidRDefault="00E771A9" w:rsidP="00E771A9">
      <w:pPr>
        <w:pStyle w:val="FootnoteText"/>
        <w:rPr>
          <w:color w:val="0563C1" w:themeColor="hyperlink"/>
          <w:u w:val="single"/>
        </w:rPr>
      </w:pPr>
      <w:r w:rsidRPr="002A7D65">
        <w:rPr>
          <w:rStyle w:val="FootnoteReference"/>
        </w:rPr>
        <w:footnoteRef/>
      </w:r>
      <w:r w:rsidRPr="002A7D65">
        <w:t xml:space="preserve"> Salmi, 2009, </w:t>
      </w:r>
      <w:proofErr w:type="spellStart"/>
      <w:r w:rsidRPr="002A7D65">
        <w:t>The</w:t>
      </w:r>
      <w:proofErr w:type="spellEnd"/>
      <w:r w:rsidRPr="002A7D65">
        <w:t xml:space="preserve"> </w:t>
      </w:r>
      <w:proofErr w:type="spellStart"/>
      <w:r w:rsidRPr="002A7D65">
        <w:t>Challenge</w:t>
      </w:r>
      <w:proofErr w:type="spellEnd"/>
      <w:r w:rsidRPr="002A7D65">
        <w:t xml:space="preserve"> </w:t>
      </w:r>
      <w:proofErr w:type="spellStart"/>
      <w:r w:rsidRPr="002A7D65">
        <w:t>of</w:t>
      </w:r>
      <w:proofErr w:type="spellEnd"/>
      <w:r w:rsidRPr="002A7D65">
        <w:t xml:space="preserve"> </w:t>
      </w:r>
      <w:proofErr w:type="spellStart"/>
      <w:r w:rsidRPr="002A7D65">
        <w:t>Establishing</w:t>
      </w:r>
      <w:proofErr w:type="spellEnd"/>
      <w:r w:rsidRPr="002A7D65">
        <w:t xml:space="preserve"> </w:t>
      </w:r>
      <w:proofErr w:type="spellStart"/>
      <w:r w:rsidRPr="002A7D65">
        <w:t>World-Class</w:t>
      </w:r>
      <w:proofErr w:type="spellEnd"/>
      <w:r w:rsidRPr="002A7D65">
        <w:t xml:space="preserve"> </w:t>
      </w:r>
      <w:proofErr w:type="spellStart"/>
      <w:r w:rsidRPr="002A7D65">
        <w:t>Universities</w:t>
      </w:r>
      <w:proofErr w:type="spellEnd"/>
      <w:r w:rsidRPr="002A7D65">
        <w:t xml:space="preserve"> </w:t>
      </w:r>
      <w:hyperlink r:id="rId48" w:history="1">
        <w:r w:rsidRPr="002A7D65">
          <w:rPr>
            <w:rStyle w:val="Hyperlink"/>
          </w:rPr>
          <w:t>https://openknowledge.worldbank.org/handle/10986/2600</w:t>
        </w:r>
      </w:hyperlink>
    </w:p>
    <w:p w14:paraId="1842E414" w14:textId="77777777" w:rsidR="00E771A9" w:rsidRPr="002A7D65" w:rsidRDefault="00E771A9" w:rsidP="00E771A9">
      <w:pPr>
        <w:pStyle w:val="FootnoteText"/>
      </w:pPr>
    </w:p>
  </w:footnote>
  <w:footnote w:id="66">
    <w:p w14:paraId="59349E91" w14:textId="77777777" w:rsidR="00E771A9" w:rsidRPr="002A7D65" w:rsidRDefault="00E771A9" w:rsidP="00E771A9">
      <w:pPr>
        <w:pStyle w:val="FootnoteText"/>
      </w:pPr>
      <w:r w:rsidRPr="002A7D65">
        <w:rPr>
          <w:rStyle w:val="FootnoteReference"/>
        </w:rPr>
        <w:footnoteRef/>
      </w:r>
      <w:r w:rsidRPr="002A7D65">
        <w:t xml:space="preserve"> </w:t>
      </w:r>
      <w:proofErr w:type="spellStart"/>
      <w:r w:rsidRPr="002A7D65">
        <w:t>Tienari</w:t>
      </w:r>
      <w:proofErr w:type="spellEnd"/>
      <w:r w:rsidRPr="002A7D65">
        <w:t xml:space="preserve"> </w:t>
      </w:r>
      <w:proofErr w:type="spellStart"/>
      <w:r w:rsidRPr="002A7D65">
        <w:t>et</w:t>
      </w:r>
      <w:proofErr w:type="spellEnd"/>
      <w:r w:rsidRPr="002A7D65">
        <w:t xml:space="preserve"> </w:t>
      </w:r>
      <w:proofErr w:type="spellStart"/>
      <w:r w:rsidRPr="002A7D65">
        <w:t>al</w:t>
      </w:r>
      <w:proofErr w:type="spellEnd"/>
      <w:r w:rsidRPr="002A7D65">
        <w:t xml:space="preserve">, 2015, </w:t>
      </w:r>
      <w:proofErr w:type="spellStart"/>
      <w:r w:rsidRPr="002A7D65">
        <w:t>Built</w:t>
      </w:r>
      <w:proofErr w:type="spellEnd"/>
      <w:r w:rsidRPr="002A7D65">
        <w:t xml:space="preserve"> to </w:t>
      </w:r>
      <w:proofErr w:type="spellStart"/>
      <w:r w:rsidRPr="002A7D65">
        <w:t>be</w:t>
      </w:r>
      <w:proofErr w:type="spellEnd"/>
      <w:r w:rsidRPr="002A7D65">
        <w:t xml:space="preserve"> </w:t>
      </w:r>
      <w:proofErr w:type="spellStart"/>
      <w:r w:rsidRPr="002A7D65">
        <w:t>excellent</w:t>
      </w:r>
      <w:proofErr w:type="spellEnd"/>
      <w:r w:rsidRPr="002A7D65">
        <w:t xml:space="preserve">? </w:t>
      </w:r>
      <w:proofErr w:type="spellStart"/>
      <w:r w:rsidRPr="002A7D65">
        <w:t>The</w:t>
      </w:r>
      <w:proofErr w:type="spellEnd"/>
      <w:r w:rsidRPr="002A7D65">
        <w:t xml:space="preserve"> </w:t>
      </w:r>
      <w:proofErr w:type="spellStart"/>
      <w:r w:rsidRPr="002A7D65">
        <w:t>Aalto</w:t>
      </w:r>
      <w:proofErr w:type="spellEnd"/>
      <w:r w:rsidRPr="002A7D65">
        <w:t xml:space="preserve"> </w:t>
      </w:r>
      <w:proofErr w:type="spellStart"/>
      <w:r w:rsidRPr="002A7D65">
        <w:t>University</w:t>
      </w:r>
      <w:proofErr w:type="spellEnd"/>
      <w:r w:rsidRPr="002A7D65">
        <w:t xml:space="preserve"> </w:t>
      </w:r>
      <w:proofErr w:type="spellStart"/>
      <w:r w:rsidRPr="002A7D65">
        <w:t>merger</w:t>
      </w:r>
      <w:proofErr w:type="spellEnd"/>
      <w:r w:rsidRPr="002A7D65">
        <w:t xml:space="preserve"> </w:t>
      </w:r>
      <w:proofErr w:type="spellStart"/>
      <w:r w:rsidRPr="002A7D65">
        <w:t>in</w:t>
      </w:r>
      <w:proofErr w:type="spellEnd"/>
      <w:r w:rsidRPr="002A7D65">
        <w:t xml:space="preserve"> </w:t>
      </w:r>
      <w:proofErr w:type="spellStart"/>
      <w:r w:rsidRPr="002A7D65">
        <w:t>Finland</w:t>
      </w:r>
      <w:proofErr w:type="spellEnd"/>
      <w:r w:rsidRPr="002A7D65">
        <w:t xml:space="preserve"> </w:t>
      </w:r>
      <w:hyperlink r:id="rId49" w:history="1">
        <w:r w:rsidRPr="002A7D65">
          <w:rPr>
            <w:rStyle w:val="Hyperlink"/>
          </w:rPr>
          <w:t>https://www.tandfonline.com/doi/abs/10.1080/21568235.2015.1099454</w:t>
        </w:r>
      </w:hyperlink>
      <w:r w:rsidRPr="002A7D65">
        <w:t xml:space="preserve"> </w:t>
      </w:r>
    </w:p>
  </w:footnote>
  <w:footnote w:id="67">
    <w:p w14:paraId="52B40F92" w14:textId="77777777" w:rsidR="00E771A9" w:rsidRPr="002A7D65" w:rsidRDefault="00E771A9" w:rsidP="00E771A9">
      <w:pPr>
        <w:pStyle w:val="FootnoteText"/>
      </w:pPr>
      <w:r w:rsidRPr="002A7D65">
        <w:rPr>
          <w:rStyle w:val="FootnoteReference"/>
        </w:rPr>
        <w:footnoteRef/>
      </w:r>
      <w:r w:rsidRPr="002A7D65">
        <w:t xml:space="preserve"> </w:t>
      </w:r>
      <w:proofErr w:type="spellStart"/>
      <w:r w:rsidRPr="002A7D65">
        <w:t>Ibid</w:t>
      </w:r>
      <w:proofErr w:type="spellEnd"/>
    </w:p>
  </w:footnote>
  <w:footnote w:id="68">
    <w:p w14:paraId="60C62748" w14:textId="77777777" w:rsidR="00E771A9" w:rsidRPr="002A7D65" w:rsidRDefault="00E771A9" w:rsidP="00E771A9">
      <w:pPr>
        <w:pStyle w:val="FootnoteText"/>
      </w:pPr>
      <w:r w:rsidRPr="002A7D65">
        <w:rPr>
          <w:rStyle w:val="FootnoteReference"/>
        </w:rPr>
        <w:footnoteRef/>
      </w:r>
      <w:r w:rsidRPr="002A7D65">
        <w:t xml:space="preserve"> </w:t>
      </w:r>
      <w:hyperlink r:id="rId50" w:history="1">
        <w:proofErr w:type="spellStart"/>
        <w:r w:rsidRPr="002A7D65">
          <w:rPr>
            <w:rStyle w:val="Hyperlink"/>
          </w:rPr>
          <w:t>ShanghaiRanking-Univiersities</w:t>
        </w:r>
        <w:proofErr w:type="spellEnd"/>
      </w:hyperlink>
    </w:p>
  </w:footnote>
  <w:footnote w:id="69">
    <w:p w14:paraId="2CDDEDCB" w14:textId="77777777" w:rsidR="00E771A9" w:rsidRPr="002A7D65" w:rsidRDefault="00E771A9" w:rsidP="00E771A9">
      <w:pPr>
        <w:pStyle w:val="FootnoteText"/>
      </w:pPr>
      <w:r w:rsidRPr="002A7D65">
        <w:rPr>
          <w:rStyle w:val="FootnoteReference"/>
        </w:rPr>
        <w:footnoteRef/>
      </w:r>
      <w:r w:rsidRPr="002A7D65">
        <w:t xml:space="preserve"> </w:t>
      </w:r>
      <w:hyperlink r:id="rId51" w:history="1">
        <w:proofErr w:type="spellStart"/>
        <w:r w:rsidRPr="002A7D65">
          <w:rPr>
            <w:rStyle w:val="Hyperlink"/>
          </w:rPr>
          <w:t>Aalto</w:t>
        </w:r>
        <w:proofErr w:type="spellEnd"/>
        <w:r w:rsidRPr="002A7D65">
          <w:rPr>
            <w:rStyle w:val="Hyperlink"/>
          </w:rPr>
          <w:t xml:space="preserve"> </w:t>
        </w:r>
        <w:proofErr w:type="spellStart"/>
        <w:r w:rsidRPr="002A7D65">
          <w:rPr>
            <w:rStyle w:val="Hyperlink"/>
          </w:rPr>
          <w:t>University</w:t>
        </w:r>
        <w:proofErr w:type="spellEnd"/>
        <w:r w:rsidRPr="002A7D65">
          <w:rPr>
            <w:rStyle w:val="Hyperlink"/>
          </w:rPr>
          <w:t xml:space="preserve"> | </w:t>
        </w:r>
        <w:proofErr w:type="spellStart"/>
        <w:r w:rsidRPr="002A7D65">
          <w:rPr>
            <w:rStyle w:val="Hyperlink"/>
          </w:rPr>
          <w:t>World</w:t>
        </w:r>
        <w:proofErr w:type="spellEnd"/>
        <w:r w:rsidRPr="002A7D65">
          <w:rPr>
            <w:rStyle w:val="Hyperlink"/>
          </w:rPr>
          <w:t xml:space="preserve"> </w:t>
        </w:r>
        <w:proofErr w:type="spellStart"/>
        <w:r w:rsidRPr="002A7D65">
          <w:rPr>
            <w:rStyle w:val="Hyperlink"/>
          </w:rPr>
          <w:t>University</w:t>
        </w:r>
        <w:proofErr w:type="spellEnd"/>
        <w:r w:rsidRPr="002A7D65">
          <w:rPr>
            <w:rStyle w:val="Hyperlink"/>
          </w:rPr>
          <w:t xml:space="preserve"> </w:t>
        </w:r>
        <w:proofErr w:type="spellStart"/>
        <w:r w:rsidRPr="002A7D65">
          <w:rPr>
            <w:rStyle w:val="Hyperlink"/>
          </w:rPr>
          <w:t>Rankings</w:t>
        </w:r>
        <w:proofErr w:type="spellEnd"/>
        <w:r w:rsidRPr="002A7D65">
          <w:rPr>
            <w:rStyle w:val="Hyperlink"/>
          </w:rPr>
          <w:t xml:space="preserve"> | THE (timeshighereducation.com)</w:t>
        </w:r>
      </w:hyperlink>
    </w:p>
  </w:footnote>
  <w:footnote w:id="70">
    <w:p w14:paraId="58F84928" w14:textId="77777777" w:rsidR="00E771A9" w:rsidRPr="00305FFC" w:rsidRDefault="00E771A9" w:rsidP="00E771A9">
      <w:pPr>
        <w:pStyle w:val="FootnoteText"/>
      </w:pPr>
      <w:r w:rsidRPr="002A7D65">
        <w:rPr>
          <w:rStyle w:val="FootnoteReference"/>
        </w:rPr>
        <w:footnoteRef/>
      </w:r>
      <w:r w:rsidRPr="002A7D65">
        <w:t xml:space="preserve"> </w:t>
      </w:r>
      <w:hyperlink r:id="rId52" w:history="1">
        <w:proofErr w:type="spellStart"/>
        <w:r w:rsidRPr="00305FFC">
          <w:rPr>
            <w:rStyle w:val="Hyperlink"/>
          </w:rPr>
          <w:t>Aalto</w:t>
        </w:r>
        <w:proofErr w:type="spellEnd"/>
        <w:r w:rsidRPr="00305FFC">
          <w:rPr>
            <w:rStyle w:val="Hyperlink"/>
          </w:rPr>
          <w:t xml:space="preserve"> </w:t>
        </w:r>
        <w:proofErr w:type="spellStart"/>
        <w:r w:rsidRPr="00305FFC">
          <w:rPr>
            <w:rStyle w:val="Hyperlink"/>
          </w:rPr>
          <w:t>University</w:t>
        </w:r>
        <w:proofErr w:type="spellEnd"/>
        <w:r w:rsidRPr="00305FFC">
          <w:rPr>
            <w:rStyle w:val="Hyperlink"/>
          </w:rPr>
          <w:t xml:space="preserve"> : </w:t>
        </w:r>
        <w:proofErr w:type="spellStart"/>
        <w:r w:rsidRPr="00305FFC">
          <w:rPr>
            <w:rStyle w:val="Hyperlink"/>
          </w:rPr>
          <w:t>Rankings</w:t>
        </w:r>
        <w:proofErr w:type="spellEnd"/>
        <w:r w:rsidRPr="00305FFC">
          <w:rPr>
            <w:rStyle w:val="Hyperlink"/>
          </w:rPr>
          <w:t xml:space="preserve">, </w:t>
        </w:r>
        <w:proofErr w:type="spellStart"/>
        <w:r w:rsidRPr="00305FFC">
          <w:rPr>
            <w:rStyle w:val="Hyperlink"/>
          </w:rPr>
          <w:t>Fees</w:t>
        </w:r>
        <w:proofErr w:type="spellEnd"/>
        <w:r w:rsidRPr="00305FFC">
          <w:rPr>
            <w:rStyle w:val="Hyperlink"/>
          </w:rPr>
          <w:t xml:space="preserve"> &amp; </w:t>
        </w:r>
        <w:proofErr w:type="spellStart"/>
        <w:r w:rsidRPr="00305FFC">
          <w:rPr>
            <w:rStyle w:val="Hyperlink"/>
          </w:rPr>
          <w:t>Courses</w:t>
        </w:r>
        <w:proofErr w:type="spellEnd"/>
        <w:r w:rsidRPr="00305FFC">
          <w:rPr>
            <w:rStyle w:val="Hyperlink"/>
          </w:rPr>
          <w:t xml:space="preserve"> </w:t>
        </w:r>
        <w:proofErr w:type="spellStart"/>
        <w:r w:rsidRPr="00305FFC">
          <w:rPr>
            <w:rStyle w:val="Hyperlink"/>
          </w:rPr>
          <w:t>Details</w:t>
        </w:r>
        <w:proofErr w:type="spellEnd"/>
        <w:r w:rsidRPr="00305FFC">
          <w:rPr>
            <w:rStyle w:val="Hyperlink"/>
          </w:rPr>
          <w:t xml:space="preserve"> | Top </w:t>
        </w:r>
        <w:proofErr w:type="spellStart"/>
        <w:r w:rsidRPr="00305FFC">
          <w:rPr>
            <w:rStyle w:val="Hyperlink"/>
          </w:rPr>
          <w:t>Universities</w:t>
        </w:r>
        <w:proofErr w:type="spellEnd"/>
      </w:hyperlink>
    </w:p>
  </w:footnote>
  <w:footnote w:id="71">
    <w:p w14:paraId="481B5727" w14:textId="24BCEE74" w:rsidR="00E771A9" w:rsidRPr="00305FFC" w:rsidRDefault="00E771A9" w:rsidP="00E771A9">
      <w:pPr>
        <w:pStyle w:val="FootnoteText"/>
      </w:pPr>
      <w:r w:rsidRPr="00305FFC">
        <w:rPr>
          <w:rStyle w:val="FootnoteReference"/>
        </w:rPr>
        <w:footnoteRef/>
      </w:r>
      <w:r w:rsidRPr="00305FFC">
        <w:t xml:space="preserve"> </w:t>
      </w:r>
      <w:hyperlink r:id="rId53" w:history="1">
        <w:proofErr w:type="spellStart"/>
        <w:r w:rsidRPr="00305FFC">
          <w:rPr>
            <w:rStyle w:val="Hyperlink"/>
          </w:rPr>
          <w:t>Higher</w:t>
        </w:r>
        <w:proofErr w:type="spellEnd"/>
        <w:r w:rsidRPr="00305FFC">
          <w:rPr>
            <w:rStyle w:val="Hyperlink"/>
          </w:rPr>
          <w:t xml:space="preserve"> </w:t>
        </w:r>
        <w:proofErr w:type="spellStart"/>
        <w:r w:rsidRPr="00305FFC">
          <w:rPr>
            <w:rStyle w:val="Hyperlink"/>
          </w:rPr>
          <w:t>Education</w:t>
        </w:r>
        <w:proofErr w:type="spellEnd"/>
        <w:r w:rsidRPr="00305FFC">
          <w:rPr>
            <w:rStyle w:val="Hyperlink"/>
          </w:rPr>
          <w:t xml:space="preserve"> </w:t>
        </w:r>
        <w:proofErr w:type="spellStart"/>
        <w:r w:rsidRPr="00305FFC">
          <w:rPr>
            <w:rStyle w:val="Hyperlink"/>
          </w:rPr>
          <w:t>Funding</w:t>
        </w:r>
        <w:proofErr w:type="spellEnd"/>
        <w:r w:rsidRPr="00305FFC">
          <w:rPr>
            <w:rStyle w:val="Hyperlink"/>
          </w:rPr>
          <w:t xml:space="preserve"> | </w:t>
        </w:r>
        <w:proofErr w:type="spellStart"/>
        <w:r w:rsidRPr="00305FFC">
          <w:rPr>
            <w:rStyle w:val="Hyperlink"/>
          </w:rPr>
          <w:t>Eurydice</w:t>
        </w:r>
        <w:proofErr w:type="spellEnd"/>
        <w:r w:rsidRPr="00305FFC">
          <w:rPr>
            <w:rStyle w:val="Hyperlink"/>
          </w:rPr>
          <w:t xml:space="preserve"> (</w:t>
        </w:r>
        <w:r w:rsidR="00C16B07" w:rsidRPr="00305FFC">
          <w:rPr>
            <w:rStyle w:val="Hyperlink"/>
          </w:rPr>
          <w:t>euro</w:t>
        </w:r>
        <w:r w:rsidRPr="00305FFC">
          <w:rPr>
            <w:rStyle w:val="Hyperlink"/>
          </w:rPr>
          <w:t>pa.eu)</w:t>
        </w:r>
      </w:hyperlink>
      <w:r w:rsidRPr="00305FFC">
        <w:t xml:space="preserve"> </w:t>
      </w:r>
    </w:p>
  </w:footnote>
  <w:footnote w:id="72">
    <w:p w14:paraId="5BEB41EB" w14:textId="77777777" w:rsidR="00E771A9" w:rsidRPr="002A7D65" w:rsidRDefault="00E771A9" w:rsidP="00E771A9">
      <w:pPr>
        <w:pStyle w:val="FootnoteText"/>
      </w:pPr>
      <w:r w:rsidRPr="00305FFC">
        <w:rPr>
          <w:rStyle w:val="FootnoteReference"/>
        </w:rPr>
        <w:footnoteRef/>
      </w:r>
      <w:r w:rsidRPr="00305FFC">
        <w:t xml:space="preserve"> </w:t>
      </w:r>
      <w:hyperlink r:id="rId54" w:history="1">
        <w:proofErr w:type="spellStart"/>
        <w:r w:rsidRPr="00305FFC">
          <w:rPr>
            <w:rStyle w:val="Hyperlink"/>
          </w:rPr>
          <w:t>Excellence</w:t>
        </w:r>
        <w:proofErr w:type="spellEnd"/>
        <w:r w:rsidRPr="00305FFC">
          <w:rPr>
            <w:rStyle w:val="Hyperlink"/>
          </w:rPr>
          <w:t xml:space="preserve"> </w:t>
        </w:r>
        <w:proofErr w:type="spellStart"/>
        <w:r w:rsidRPr="00305FFC">
          <w:rPr>
            <w:rStyle w:val="Hyperlink"/>
          </w:rPr>
          <w:t>Strategy</w:t>
        </w:r>
        <w:proofErr w:type="spellEnd"/>
        <w:r w:rsidRPr="00305FFC">
          <w:rPr>
            <w:rStyle w:val="Hyperlink"/>
          </w:rPr>
          <w:t xml:space="preserve"> (dfg.de)</w:t>
        </w:r>
      </w:hyperlink>
    </w:p>
  </w:footnote>
  <w:footnote w:id="73">
    <w:p w14:paraId="6B4CAA89" w14:textId="77777777" w:rsidR="00E771A9" w:rsidRPr="002A7D65" w:rsidRDefault="00E771A9" w:rsidP="00E771A9">
      <w:pPr>
        <w:pStyle w:val="FootnoteText"/>
      </w:pPr>
      <w:r w:rsidRPr="002A7D65">
        <w:rPr>
          <w:rStyle w:val="FootnoteReference"/>
        </w:rPr>
        <w:footnoteRef/>
      </w:r>
      <w:r w:rsidRPr="002A7D65">
        <w:t xml:space="preserve"> </w:t>
      </w:r>
      <w:proofErr w:type="spellStart"/>
      <w:r w:rsidRPr="002A7D65">
        <w:t>Civera</w:t>
      </w:r>
      <w:proofErr w:type="spellEnd"/>
      <w:r w:rsidRPr="002A7D65">
        <w:t xml:space="preserve"> </w:t>
      </w:r>
      <w:proofErr w:type="spellStart"/>
      <w:r w:rsidRPr="002A7D65">
        <w:t>et</w:t>
      </w:r>
      <w:proofErr w:type="spellEnd"/>
      <w:r w:rsidRPr="002A7D65">
        <w:t xml:space="preserve"> </w:t>
      </w:r>
      <w:proofErr w:type="spellStart"/>
      <w:r w:rsidRPr="002A7D65">
        <w:t>al</w:t>
      </w:r>
      <w:proofErr w:type="spellEnd"/>
      <w:r w:rsidRPr="002A7D65">
        <w:t xml:space="preserve">, 2020, </w:t>
      </w:r>
      <w:proofErr w:type="spellStart"/>
      <w:r w:rsidRPr="002A7D65">
        <w:t>Higher</w:t>
      </w:r>
      <w:proofErr w:type="spellEnd"/>
      <w:r w:rsidRPr="002A7D65">
        <w:t xml:space="preserve"> </w:t>
      </w:r>
      <w:proofErr w:type="spellStart"/>
      <w:r w:rsidRPr="002A7D65">
        <w:t>education</w:t>
      </w:r>
      <w:proofErr w:type="spellEnd"/>
      <w:r w:rsidRPr="002A7D65">
        <w:t xml:space="preserve"> </w:t>
      </w:r>
      <w:proofErr w:type="spellStart"/>
      <w:r w:rsidRPr="002A7D65">
        <w:t>policy</w:t>
      </w:r>
      <w:proofErr w:type="spellEnd"/>
      <w:r w:rsidRPr="002A7D65">
        <w:t xml:space="preserve">: </w:t>
      </w:r>
      <w:proofErr w:type="spellStart"/>
      <w:r w:rsidRPr="002A7D65">
        <w:t>Why</w:t>
      </w:r>
      <w:proofErr w:type="spellEnd"/>
      <w:r w:rsidRPr="002A7D65">
        <w:t xml:space="preserve"> </w:t>
      </w:r>
      <w:proofErr w:type="spellStart"/>
      <w:r w:rsidRPr="002A7D65">
        <w:t>hope</w:t>
      </w:r>
      <w:proofErr w:type="spellEnd"/>
      <w:r w:rsidRPr="002A7D65">
        <w:t xml:space="preserve"> </w:t>
      </w:r>
      <w:proofErr w:type="spellStart"/>
      <w:r w:rsidRPr="002A7D65">
        <w:t>for</w:t>
      </w:r>
      <w:proofErr w:type="spellEnd"/>
      <w:r w:rsidRPr="002A7D65">
        <w:t xml:space="preserve"> </w:t>
      </w:r>
      <w:proofErr w:type="spellStart"/>
      <w:r w:rsidRPr="002A7D65">
        <w:t>quality</w:t>
      </w:r>
      <w:proofErr w:type="spellEnd"/>
      <w:r w:rsidRPr="002A7D65">
        <w:t xml:space="preserve"> </w:t>
      </w:r>
      <w:proofErr w:type="spellStart"/>
      <w:r w:rsidRPr="002A7D65">
        <w:t>when</w:t>
      </w:r>
      <w:proofErr w:type="spellEnd"/>
      <w:r w:rsidRPr="002A7D65">
        <w:t xml:space="preserve"> </w:t>
      </w:r>
      <w:proofErr w:type="spellStart"/>
      <w:r w:rsidRPr="002A7D65">
        <w:t>rewarding</w:t>
      </w:r>
      <w:proofErr w:type="spellEnd"/>
      <w:r w:rsidRPr="002A7D65">
        <w:t xml:space="preserve"> </w:t>
      </w:r>
      <w:proofErr w:type="spellStart"/>
      <w:r w:rsidRPr="002A7D65">
        <w:t>quantity</w:t>
      </w:r>
      <w:proofErr w:type="spellEnd"/>
      <w:r w:rsidRPr="002A7D65">
        <w:t xml:space="preserve">? </w:t>
      </w:r>
      <w:hyperlink r:id="rId55" w:history="1">
        <w:r w:rsidRPr="002A7D65">
          <w:rPr>
            <w:rStyle w:val="Hyperlink"/>
          </w:rPr>
          <w:t>https://www.sciencedirect.com/science/article/abs/pii/S004873332030161X</w:t>
        </w:r>
      </w:hyperlink>
      <w:r w:rsidRPr="002A7D65">
        <w:t xml:space="preserve"> </w:t>
      </w:r>
    </w:p>
  </w:footnote>
  <w:footnote w:id="74">
    <w:p w14:paraId="7737459F" w14:textId="77777777" w:rsidR="00E771A9" w:rsidRPr="002A7D65" w:rsidRDefault="00E771A9" w:rsidP="00E771A9">
      <w:pPr>
        <w:pStyle w:val="FootnoteText"/>
      </w:pPr>
      <w:r w:rsidRPr="002A7D65">
        <w:rPr>
          <w:rStyle w:val="FootnoteReference"/>
        </w:rPr>
        <w:footnoteRef/>
      </w:r>
      <w:r w:rsidRPr="002A7D65">
        <w:t xml:space="preserve"> </w:t>
      </w:r>
      <w:hyperlink r:id="rId56" w:history="1">
        <w:r w:rsidRPr="002A7D65">
          <w:rPr>
            <w:rStyle w:val="Hyperlink"/>
          </w:rPr>
          <w:t>Germany-country-profile-2020 (oecd.org)</w:t>
        </w:r>
      </w:hyperlink>
    </w:p>
  </w:footnote>
  <w:footnote w:id="75">
    <w:p w14:paraId="1E76EEB5" w14:textId="77777777" w:rsidR="00E771A9" w:rsidRDefault="00E771A9" w:rsidP="00E771A9">
      <w:pPr>
        <w:pStyle w:val="FootnoteText"/>
      </w:pPr>
      <w:r w:rsidRPr="002A7D65">
        <w:rPr>
          <w:rStyle w:val="FootnoteReference"/>
        </w:rPr>
        <w:footnoteRef/>
      </w:r>
      <w:r w:rsidRPr="002A7D65">
        <w:t xml:space="preserve"> </w:t>
      </w:r>
      <w:proofErr w:type="spellStart"/>
      <w:r w:rsidRPr="002A7D65">
        <w:t>Civera</w:t>
      </w:r>
      <w:proofErr w:type="spellEnd"/>
      <w:r w:rsidRPr="002A7D65">
        <w:t xml:space="preserve"> </w:t>
      </w:r>
      <w:proofErr w:type="spellStart"/>
      <w:r w:rsidRPr="002A7D65">
        <w:t>et</w:t>
      </w:r>
      <w:proofErr w:type="spellEnd"/>
      <w:r w:rsidRPr="002A7D65">
        <w:t xml:space="preserve"> </w:t>
      </w:r>
      <w:proofErr w:type="spellStart"/>
      <w:r w:rsidRPr="002A7D65">
        <w:t>al</w:t>
      </w:r>
      <w:proofErr w:type="spellEnd"/>
      <w:r w:rsidRPr="002A7D65">
        <w:t xml:space="preserve">, 2020, </w:t>
      </w:r>
      <w:proofErr w:type="spellStart"/>
      <w:r w:rsidRPr="002A7D65">
        <w:t>Higher</w:t>
      </w:r>
      <w:proofErr w:type="spellEnd"/>
      <w:r w:rsidRPr="002A7D65">
        <w:t xml:space="preserve"> </w:t>
      </w:r>
      <w:proofErr w:type="spellStart"/>
      <w:r w:rsidRPr="002A7D65">
        <w:t>education</w:t>
      </w:r>
      <w:proofErr w:type="spellEnd"/>
      <w:r w:rsidRPr="002A7D65">
        <w:t xml:space="preserve"> </w:t>
      </w:r>
      <w:proofErr w:type="spellStart"/>
      <w:r w:rsidRPr="002A7D65">
        <w:t>policy</w:t>
      </w:r>
      <w:proofErr w:type="spellEnd"/>
      <w:r w:rsidRPr="002A7D65">
        <w:t xml:space="preserve">: </w:t>
      </w:r>
      <w:proofErr w:type="spellStart"/>
      <w:r w:rsidRPr="002A7D65">
        <w:t>Why</w:t>
      </w:r>
      <w:proofErr w:type="spellEnd"/>
      <w:r w:rsidRPr="002A7D65">
        <w:t xml:space="preserve"> </w:t>
      </w:r>
      <w:proofErr w:type="spellStart"/>
      <w:r w:rsidRPr="002A7D65">
        <w:t>hope</w:t>
      </w:r>
      <w:proofErr w:type="spellEnd"/>
      <w:r w:rsidRPr="002A7D65">
        <w:t xml:space="preserve"> </w:t>
      </w:r>
      <w:proofErr w:type="spellStart"/>
      <w:r w:rsidRPr="002A7D65">
        <w:t>for</w:t>
      </w:r>
      <w:proofErr w:type="spellEnd"/>
      <w:r w:rsidRPr="002A7D65">
        <w:t xml:space="preserve"> </w:t>
      </w:r>
      <w:proofErr w:type="spellStart"/>
      <w:r w:rsidRPr="002A7D65">
        <w:t>quality</w:t>
      </w:r>
      <w:proofErr w:type="spellEnd"/>
      <w:r w:rsidRPr="002A7D65">
        <w:t xml:space="preserve"> </w:t>
      </w:r>
      <w:proofErr w:type="spellStart"/>
      <w:r w:rsidRPr="002A7D65">
        <w:t>when</w:t>
      </w:r>
      <w:proofErr w:type="spellEnd"/>
      <w:r w:rsidRPr="002A7D65">
        <w:t xml:space="preserve"> </w:t>
      </w:r>
      <w:proofErr w:type="spellStart"/>
      <w:r w:rsidRPr="002A7D65">
        <w:t>rewarding</w:t>
      </w:r>
      <w:proofErr w:type="spellEnd"/>
      <w:r w:rsidRPr="002A7D65">
        <w:t xml:space="preserve"> </w:t>
      </w:r>
      <w:proofErr w:type="spellStart"/>
      <w:r w:rsidRPr="002A7D65">
        <w:t>quantity</w:t>
      </w:r>
      <w:proofErr w:type="spellEnd"/>
      <w:r w:rsidRPr="002A7D65">
        <w:t xml:space="preserve">? </w:t>
      </w:r>
      <w:hyperlink r:id="rId57" w:history="1">
        <w:r w:rsidRPr="002A7D65">
          <w:rPr>
            <w:rStyle w:val="Hyperlink"/>
          </w:rPr>
          <w:t>https://www.sciencedirect.com/science/article/abs/pii/S004873332030161X</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0422E2" w14:textId="77777777" w:rsidR="00E771A9" w:rsidRPr="002A7D65" w:rsidRDefault="00E771A9">
    <w:pPr>
      <w:pStyle w:val="Header"/>
    </w:pPr>
    <w:r w:rsidRPr="002A7D65">
      <w:rPr>
        <w:noProof/>
      </w:rPr>
      <w:drawing>
        <wp:anchor distT="0" distB="0" distL="114300" distR="114300" simplePos="0" relativeHeight="251661312" behindDoc="1" locked="0" layoutInCell="1" allowOverlap="1" wp14:anchorId="26003011" wp14:editId="7040D629">
          <wp:simplePos x="0" y="0"/>
          <wp:positionH relativeFrom="page">
            <wp:align>left</wp:align>
          </wp:positionH>
          <wp:positionV relativeFrom="paragraph">
            <wp:posOffset>-449916</wp:posOffset>
          </wp:positionV>
          <wp:extent cx="2393607" cy="1506071"/>
          <wp:effectExtent l="0" t="0" r="0" b="0"/>
          <wp:wrapNone/>
          <wp:docPr id="109114278" name="Picture 109114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Noformējums bez nosaukuma.png"/>
                  <pic:cNvPicPr/>
                </pic:nvPicPr>
                <pic:blipFill rotWithShape="1">
                  <a:blip r:embed="rId1" cstate="print">
                    <a:duotone>
                      <a:schemeClr val="bg2">
                        <a:shade val="45000"/>
                        <a:satMod val="135000"/>
                      </a:schemeClr>
                      <a:prstClr val="white"/>
                    </a:duotone>
                    <a:extLst>
                      <a:ext uri="{28A0092B-C50C-407E-A947-70E740481C1C}">
                        <a14:useLocalDpi xmlns:a14="http://schemas.microsoft.com/office/drawing/2010/main" val="0"/>
                      </a:ext>
                    </a:extLst>
                  </a:blip>
                  <a:srcRect r="55980" b="60963"/>
                  <a:stretch/>
                </pic:blipFill>
                <pic:spPr bwMode="auto">
                  <a:xfrm>
                    <a:off x="0" y="0"/>
                    <a:ext cx="2429465" cy="152863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0BAEB6D" w14:textId="77777777" w:rsidR="00E771A9" w:rsidRPr="002A7D65" w:rsidRDefault="00E771A9" w:rsidP="1D9D45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90D92C" w14:textId="77777777" w:rsidR="009E7621" w:rsidRPr="002A7D65" w:rsidRDefault="009A5769">
    <w:pPr>
      <w:pStyle w:val="Header"/>
    </w:pPr>
    <w:r w:rsidRPr="002A7D65">
      <w:rPr>
        <w:noProof/>
      </w:rPr>
      <w:drawing>
        <wp:anchor distT="0" distB="0" distL="114300" distR="114300" simplePos="0" relativeHeight="251659264" behindDoc="1" locked="0" layoutInCell="1" allowOverlap="1" wp14:anchorId="3D9CF738" wp14:editId="49C4F1B1">
          <wp:simplePos x="0" y="0"/>
          <wp:positionH relativeFrom="page">
            <wp:align>left</wp:align>
          </wp:positionH>
          <wp:positionV relativeFrom="paragraph">
            <wp:posOffset>-449916</wp:posOffset>
          </wp:positionV>
          <wp:extent cx="2393607" cy="1506071"/>
          <wp:effectExtent l="0" t="0" r="0" b="0"/>
          <wp:wrapNone/>
          <wp:docPr id="1678841502" name="Picture 1678841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Noformējums bez nosaukuma.png"/>
                  <pic:cNvPicPr/>
                </pic:nvPicPr>
                <pic:blipFill rotWithShape="1">
                  <a:blip r:embed="rId1" cstate="print">
                    <a:duotone>
                      <a:schemeClr val="bg2">
                        <a:shade val="45000"/>
                        <a:satMod val="135000"/>
                      </a:schemeClr>
                      <a:prstClr val="white"/>
                    </a:duotone>
                    <a:extLst>
                      <a:ext uri="{28A0092B-C50C-407E-A947-70E740481C1C}">
                        <a14:useLocalDpi xmlns:a14="http://schemas.microsoft.com/office/drawing/2010/main" val="0"/>
                      </a:ext>
                    </a:extLst>
                  </a:blip>
                  <a:srcRect r="55980" b="60963"/>
                  <a:stretch/>
                </pic:blipFill>
                <pic:spPr bwMode="auto">
                  <a:xfrm>
                    <a:off x="0" y="0"/>
                    <a:ext cx="2429465" cy="152863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E84819" w14:textId="77777777" w:rsidR="009E7621" w:rsidRPr="002A7D65" w:rsidRDefault="009E7621" w:rsidP="1D9D45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5F074B"/>
    <w:multiLevelType w:val="hybridMultilevel"/>
    <w:tmpl w:val="FFFFFFFF"/>
    <w:lvl w:ilvl="0" w:tplc="CF64C7E8">
      <w:start w:val="1"/>
      <w:numFmt w:val="bullet"/>
      <w:lvlText w:val=""/>
      <w:lvlJc w:val="left"/>
      <w:pPr>
        <w:ind w:left="720" w:hanging="360"/>
      </w:pPr>
      <w:rPr>
        <w:rFonts w:ascii="Symbol" w:hAnsi="Symbol" w:hint="default"/>
      </w:rPr>
    </w:lvl>
    <w:lvl w:ilvl="1" w:tplc="BC6C257C">
      <w:start w:val="1"/>
      <w:numFmt w:val="bullet"/>
      <w:lvlText w:val="-"/>
      <w:lvlJc w:val="left"/>
      <w:pPr>
        <w:ind w:left="1440" w:hanging="360"/>
      </w:pPr>
      <w:rPr>
        <w:rFonts w:ascii="Calibri" w:hAnsi="Calibri" w:hint="default"/>
      </w:rPr>
    </w:lvl>
    <w:lvl w:ilvl="2" w:tplc="59A22496">
      <w:start w:val="1"/>
      <w:numFmt w:val="bullet"/>
      <w:lvlText w:val=""/>
      <w:lvlJc w:val="left"/>
      <w:pPr>
        <w:ind w:left="2160" w:hanging="360"/>
      </w:pPr>
      <w:rPr>
        <w:rFonts w:ascii="Wingdings" w:hAnsi="Wingdings" w:hint="default"/>
      </w:rPr>
    </w:lvl>
    <w:lvl w:ilvl="3" w:tplc="0F36DA2C">
      <w:start w:val="1"/>
      <w:numFmt w:val="bullet"/>
      <w:lvlText w:val=""/>
      <w:lvlJc w:val="left"/>
      <w:pPr>
        <w:ind w:left="2880" w:hanging="360"/>
      </w:pPr>
      <w:rPr>
        <w:rFonts w:ascii="Symbol" w:hAnsi="Symbol" w:hint="default"/>
      </w:rPr>
    </w:lvl>
    <w:lvl w:ilvl="4" w:tplc="47BC63BC">
      <w:start w:val="1"/>
      <w:numFmt w:val="bullet"/>
      <w:lvlText w:val="o"/>
      <w:lvlJc w:val="left"/>
      <w:pPr>
        <w:ind w:left="3600" w:hanging="360"/>
      </w:pPr>
      <w:rPr>
        <w:rFonts w:ascii="Courier New" w:hAnsi="Courier New" w:hint="default"/>
      </w:rPr>
    </w:lvl>
    <w:lvl w:ilvl="5" w:tplc="9F7020E6">
      <w:start w:val="1"/>
      <w:numFmt w:val="bullet"/>
      <w:lvlText w:val=""/>
      <w:lvlJc w:val="left"/>
      <w:pPr>
        <w:ind w:left="4320" w:hanging="360"/>
      </w:pPr>
      <w:rPr>
        <w:rFonts w:ascii="Wingdings" w:hAnsi="Wingdings" w:hint="default"/>
      </w:rPr>
    </w:lvl>
    <w:lvl w:ilvl="6" w:tplc="9E3A8944">
      <w:start w:val="1"/>
      <w:numFmt w:val="bullet"/>
      <w:lvlText w:val=""/>
      <w:lvlJc w:val="left"/>
      <w:pPr>
        <w:ind w:left="5040" w:hanging="360"/>
      </w:pPr>
      <w:rPr>
        <w:rFonts w:ascii="Symbol" w:hAnsi="Symbol" w:hint="default"/>
      </w:rPr>
    </w:lvl>
    <w:lvl w:ilvl="7" w:tplc="7466D302">
      <w:start w:val="1"/>
      <w:numFmt w:val="bullet"/>
      <w:lvlText w:val="o"/>
      <w:lvlJc w:val="left"/>
      <w:pPr>
        <w:ind w:left="5760" w:hanging="360"/>
      </w:pPr>
      <w:rPr>
        <w:rFonts w:ascii="Courier New" w:hAnsi="Courier New" w:hint="default"/>
      </w:rPr>
    </w:lvl>
    <w:lvl w:ilvl="8" w:tplc="86E09F8A">
      <w:start w:val="1"/>
      <w:numFmt w:val="bullet"/>
      <w:lvlText w:val=""/>
      <w:lvlJc w:val="left"/>
      <w:pPr>
        <w:ind w:left="6480" w:hanging="360"/>
      </w:pPr>
      <w:rPr>
        <w:rFonts w:ascii="Wingdings" w:hAnsi="Wingdings" w:hint="default"/>
      </w:rPr>
    </w:lvl>
  </w:abstractNum>
  <w:abstractNum w:abstractNumId="1" w15:restartNumberingAfterBreak="0">
    <w:nsid w:val="0E5F7863"/>
    <w:multiLevelType w:val="hybridMultilevel"/>
    <w:tmpl w:val="56CA02D8"/>
    <w:lvl w:ilvl="0" w:tplc="04260005">
      <w:start w:val="1"/>
      <w:numFmt w:val="bullet"/>
      <w:lvlText w:val=""/>
      <w:lvlJc w:val="left"/>
      <w:pPr>
        <w:ind w:left="720" w:hanging="360"/>
      </w:pPr>
      <w:rPr>
        <w:rFonts w:ascii="Wingdings" w:hAnsi="Wingdings" w:hint="default"/>
        <w:b/>
        <w:bCs/>
        <w:color w:val="1F3864" w:themeColor="accent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8CE5418"/>
    <w:multiLevelType w:val="hybridMultilevel"/>
    <w:tmpl w:val="C472FE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97C55C0"/>
    <w:multiLevelType w:val="hybridMultilevel"/>
    <w:tmpl w:val="0FB022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82003E"/>
    <w:multiLevelType w:val="hybridMultilevel"/>
    <w:tmpl w:val="E068AE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FAD5890"/>
    <w:multiLevelType w:val="hybridMultilevel"/>
    <w:tmpl w:val="6BBC88D2"/>
    <w:lvl w:ilvl="0" w:tplc="3C72674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11845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6CB4C2"/>
    <w:multiLevelType w:val="hybridMultilevel"/>
    <w:tmpl w:val="A906CCB8"/>
    <w:lvl w:ilvl="0" w:tplc="4C76ACF4">
      <w:start w:val="1"/>
      <w:numFmt w:val="bullet"/>
      <w:lvlText w:val=""/>
      <w:lvlJc w:val="left"/>
      <w:pPr>
        <w:ind w:left="720" w:hanging="360"/>
      </w:pPr>
      <w:rPr>
        <w:rFonts w:ascii="Symbol" w:hAnsi="Symbol" w:hint="default"/>
      </w:rPr>
    </w:lvl>
    <w:lvl w:ilvl="1" w:tplc="A7447188">
      <w:start w:val="1"/>
      <w:numFmt w:val="bullet"/>
      <w:lvlText w:val="-"/>
      <w:lvlJc w:val="left"/>
      <w:pPr>
        <w:ind w:left="1440" w:hanging="360"/>
      </w:pPr>
      <w:rPr>
        <w:rFonts w:ascii="Calibri" w:hAnsi="Calibri" w:hint="default"/>
      </w:rPr>
    </w:lvl>
    <w:lvl w:ilvl="2" w:tplc="ED963106">
      <w:start w:val="1"/>
      <w:numFmt w:val="bullet"/>
      <w:lvlText w:val=""/>
      <w:lvlJc w:val="left"/>
      <w:pPr>
        <w:ind w:left="2160" w:hanging="360"/>
      </w:pPr>
      <w:rPr>
        <w:rFonts w:ascii="Wingdings" w:hAnsi="Wingdings" w:hint="default"/>
      </w:rPr>
    </w:lvl>
    <w:lvl w:ilvl="3" w:tplc="323C729C">
      <w:start w:val="1"/>
      <w:numFmt w:val="bullet"/>
      <w:lvlText w:val=""/>
      <w:lvlJc w:val="left"/>
      <w:pPr>
        <w:ind w:left="2880" w:hanging="360"/>
      </w:pPr>
      <w:rPr>
        <w:rFonts w:ascii="Symbol" w:hAnsi="Symbol" w:hint="default"/>
      </w:rPr>
    </w:lvl>
    <w:lvl w:ilvl="4" w:tplc="518608EC">
      <w:start w:val="1"/>
      <w:numFmt w:val="bullet"/>
      <w:lvlText w:val="o"/>
      <w:lvlJc w:val="left"/>
      <w:pPr>
        <w:ind w:left="3600" w:hanging="360"/>
      </w:pPr>
      <w:rPr>
        <w:rFonts w:ascii="Courier New" w:hAnsi="Courier New" w:hint="default"/>
      </w:rPr>
    </w:lvl>
    <w:lvl w:ilvl="5" w:tplc="C0DEADA2">
      <w:start w:val="1"/>
      <w:numFmt w:val="bullet"/>
      <w:lvlText w:val=""/>
      <w:lvlJc w:val="left"/>
      <w:pPr>
        <w:ind w:left="4320" w:hanging="360"/>
      </w:pPr>
      <w:rPr>
        <w:rFonts w:ascii="Wingdings" w:hAnsi="Wingdings" w:hint="default"/>
      </w:rPr>
    </w:lvl>
    <w:lvl w:ilvl="6" w:tplc="99C21362">
      <w:start w:val="1"/>
      <w:numFmt w:val="bullet"/>
      <w:lvlText w:val=""/>
      <w:lvlJc w:val="left"/>
      <w:pPr>
        <w:ind w:left="5040" w:hanging="360"/>
      </w:pPr>
      <w:rPr>
        <w:rFonts w:ascii="Symbol" w:hAnsi="Symbol" w:hint="default"/>
      </w:rPr>
    </w:lvl>
    <w:lvl w:ilvl="7" w:tplc="18967058">
      <w:start w:val="1"/>
      <w:numFmt w:val="bullet"/>
      <w:lvlText w:val="o"/>
      <w:lvlJc w:val="left"/>
      <w:pPr>
        <w:ind w:left="5760" w:hanging="360"/>
      </w:pPr>
      <w:rPr>
        <w:rFonts w:ascii="Courier New" w:hAnsi="Courier New" w:hint="default"/>
      </w:rPr>
    </w:lvl>
    <w:lvl w:ilvl="8" w:tplc="6A24894A">
      <w:start w:val="1"/>
      <w:numFmt w:val="bullet"/>
      <w:lvlText w:val=""/>
      <w:lvlJc w:val="left"/>
      <w:pPr>
        <w:ind w:left="6480" w:hanging="360"/>
      </w:pPr>
      <w:rPr>
        <w:rFonts w:ascii="Wingdings" w:hAnsi="Wingdings" w:hint="default"/>
      </w:rPr>
    </w:lvl>
  </w:abstractNum>
  <w:abstractNum w:abstractNumId="8" w15:restartNumberingAfterBreak="0">
    <w:nsid w:val="2D682940"/>
    <w:multiLevelType w:val="hybridMultilevel"/>
    <w:tmpl w:val="4E907C8E"/>
    <w:lvl w:ilvl="0" w:tplc="31920BB4">
      <w:start w:val="1"/>
      <w:numFmt w:val="decimal"/>
      <w:lvlText w:val="%1)"/>
      <w:lvlJc w:val="left"/>
      <w:pPr>
        <w:ind w:left="740" w:hanging="38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EB03FBF"/>
    <w:multiLevelType w:val="hybridMultilevel"/>
    <w:tmpl w:val="7C74F6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64A62AC"/>
    <w:multiLevelType w:val="hybridMultilevel"/>
    <w:tmpl w:val="1C343A6A"/>
    <w:lvl w:ilvl="0" w:tplc="2100802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2015FB"/>
    <w:multiLevelType w:val="hybridMultilevel"/>
    <w:tmpl w:val="D3969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007810"/>
    <w:multiLevelType w:val="hybridMultilevel"/>
    <w:tmpl w:val="67BE54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36500C"/>
    <w:multiLevelType w:val="hybridMultilevel"/>
    <w:tmpl w:val="65DADF06"/>
    <w:lvl w:ilvl="0" w:tplc="86282BA2">
      <w:start w:val="6"/>
      <w:numFmt w:val="decimal"/>
      <w:lvlText w:val="%1."/>
      <w:lvlJc w:val="left"/>
      <w:pPr>
        <w:ind w:left="720" w:hanging="360"/>
      </w:pPr>
      <w:rPr>
        <w:rFonts w:hint="default"/>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D633EF"/>
    <w:multiLevelType w:val="hybridMultilevel"/>
    <w:tmpl w:val="F47A9606"/>
    <w:lvl w:ilvl="0" w:tplc="E9BA4C50">
      <w:start w:val="1"/>
      <w:numFmt w:val="bullet"/>
      <w:lvlText w:val=""/>
      <w:lvlJc w:val="left"/>
      <w:pPr>
        <w:ind w:left="720" w:hanging="360"/>
      </w:pPr>
      <w:rPr>
        <w:rFonts w:ascii="Symbol" w:hAnsi="Symbol" w:hint="default"/>
      </w:rPr>
    </w:lvl>
    <w:lvl w:ilvl="1" w:tplc="2A78A7D8">
      <w:start w:val="1"/>
      <w:numFmt w:val="bullet"/>
      <w:lvlText w:val="-"/>
      <w:lvlJc w:val="left"/>
      <w:pPr>
        <w:ind w:left="1440" w:hanging="360"/>
      </w:pPr>
      <w:rPr>
        <w:rFonts w:ascii="Calibri" w:hAnsi="Calibri" w:hint="default"/>
      </w:rPr>
    </w:lvl>
    <w:lvl w:ilvl="2" w:tplc="77C2CCD8">
      <w:start w:val="1"/>
      <w:numFmt w:val="bullet"/>
      <w:lvlText w:val=""/>
      <w:lvlJc w:val="left"/>
      <w:pPr>
        <w:ind w:left="2160" w:hanging="360"/>
      </w:pPr>
      <w:rPr>
        <w:rFonts w:ascii="Wingdings" w:hAnsi="Wingdings" w:hint="default"/>
      </w:rPr>
    </w:lvl>
    <w:lvl w:ilvl="3" w:tplc="18A0FC66">
      <w:start w:val="1"/>
      <w:numFmt w:val="bullet"/>
      <w:lvlText w:val=""/>
      <w:lvlJc w:val="left"/>
      <w:pPr>
        <w:ind w:left="2880" w:hanging="360"/>
      </w:pPr>
      <w:rPr>
        <w:rFonts w:ascii="Symbol" w:hAnsi="Symbol" w:hint="default"/>
      </w:rPr>
    </w:lvl>
    <w:lvl w:ilvl="4" w:tplc="61A4684A">
      <w:start w:val="1"/>
      <w:numFmt w:val="bullet"/>
      <w:lvlText w:val="o"/>
      <w:lvlJc w:val="left"/>
      <w:pPr>
        <w:ind w:left="3600" w:hanging="360"/>
      </w:pPr>
      <w:rPr>
        <w:rFonts w:ascii="Courier New" w:hAnsi="Courier New" w:hint="default"/>
      </w:rPr>
    </w:lvl>
    <w:lvl w:ilvl="5" w:tplc="59F6C67E">
      <w:start w:val="1"/>
      <w:numFmt w:val="bullet"/>
      <w:lvlText w:val=""/>
      <w:lvlJc w:val="left"/>
      <w:pPr>
        <w:ind w:left="4320" w:hanging="360"/>
      </w:pPr>
      <w:rPr>
        <w:rFonts w:ascii="Wingdings" w:hAnsi="Wingdings" w:hint="default"/>
      </w:rPr>
    </w:lvl>
    <w:lvl w:ilvl="6" w:tplc="57329698">
      <w:start w:val="1"/>
      <w:numFmt w:val="bullet"/>
      <w:lvlText w:val=""/>
      <w:lvlJc w:val="left"/>
      <w:pPr>
        <w:ind w:left="5040" w:hanging="360"/>
      </w:pPr>
      <w:rPr>
        <w:rFonts w:ascii="Symbol" w:hAnsi="Symbol" w:hint="default"/>
      </w:rPr>
    </w:lvl>
    <w:lvl w:ilvl="7" w:tplc="DB0E4770">
      <w:start w:val="1"/>
      <w:numFmt w:val="bullet"/>
      <w:lvlText w:val="o"/>
      <w:lvlJc w:val="left"/>
      <w:pPr>
        <w:ind w:left="5760" w:hanging="360"/>
      </w:pPr>
      <w:rPr>
        <w:rFonts w:ascii="Courier New" w:hAnsi="Courier New" w:hint="default"/>
      </w:rPr>
    </w:lvl>
    <w:lvl w:ilvl="8" w:tplc="052252CA">
      <w:start w:val="1"/>
      <w:numFmt w:val="bullet"/>
      <w:lvlText w:val=""/>
      <w:lvlJc w:val="left"/>
      <w:pPr>
        <w:ind w:left="6480" w:hanging="360"/>
      </w:pPr>
      <w:rPr>
        <w:rFonts w:ascii="Wingdings" w:hAnsi="Wingdings" w:hint="default"/>
      </w:rPr>
    </w:lvl>
  </w:abstractNum>
  <w:abstractNum w:abstractNumId="15" w15:restartNumberingAfterBreak="0">
    <w:nsid w:val="473B6690"/>
    <w:multiLevelType w:val="hybridMultilevel"/>
    <w:tmpl w:val="DC7AF872"/>
    <w:lvl w:ilvl="0" w:tplc="1180C6B6">
      <w:start w:val="10"/>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A70323"/>
    <w:multiLevelType w:val="hybridMultilevel"/>
    <w:tmpl w:val="1046CB72"/>
    <w:lvl w:ilvl="0" w:tplc="649C2B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BCC0ABA"/>
    <w:multiLevelType w:val="hybridMultilevel"/>
    <w:tmpl w:val="42981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713537"/>
    <w:multiLevelType w:val="hybridMultilevel"/>
    <w:tmpl w:val="760AFC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5A9013B8"/>
    <w:multiLevelType w:val="hybridMultilevel"/>
    <w:tmpl w:val="1BF86D4E"/>
    <w:lvl w:ilvl="0" w:tplc="190A11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3991EBD"/>
    <w:multiLevelType w:val="hybridMultilevel"/>
    <w:tmpl w:val="E66AF92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CCB6975"/>
    <w:multiLevelType w:val="hybridMultilevel"/>
    <w:tmpl w:val="51DCFFF0"/>
    <w:lvl w:ilvl="0" w:tplc="588E91C2">
      <w:start w:val="1"/>
      <w:numFmt w:val="bullet"/>
      <w:lvlText w:val=""/>
      <w:lvlJc w:val="left"/>
      <w:pPr>
        <w:ind w:left="720" w:hanging="360"/>
      </w:pPr>
      <w:rPr>
        <w:rFonts w:ascii="Wingdings" w:hAnsi="Wingdings" w:hint="default"/>
        <w:b/>
        <w:bCs/>
        <w:color w:val="ACB9CA" w:themeColor="text2" w:themeTint="6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11B640A"/>
    <w:multiLevelType w:val="hybridMultilevel"/>
    <w:tmpl w:val="6A221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486896"/>
    <w:multiLevelType w:val="hybridMultilevel"/>
    <w:tmpl w:val="3B2091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5095298">
    <w:abstractNumId w:val="14"/>
  </w:num>
  <w:num w:numId="2" w16cid:durableId="1973364977">
    <w:abstractNumId w:val="7"/>
  </w:num>
  <w:num w:numId="3" w16cid:durableId="1421098967">
    <w:abstractNumId w:val="15"/>
  </w:num>
  <w:num w:numId="4" w16cid:durableId="1382822173">
    <w:abstractNumId w:val="23"/>
  </w:num>
  <w:num w:numId="5" w16cid:durableId="1618830415">
    <w:abstractNumId w:val="11"/>
  </w:num>
  <w:num w:numId="6" w16cid:durableId="493112762">
    <w:abstractNumId w:val="3"/>
  </w:num>
  <w:num w:numId="7" w16cid:durableId="1749575686">
    <w:abstractNumId w:val="0"/>
  </w:num>
  <w:num w:numId="8" w16cid:durableId="433598482">
    <w:abstractNumId w:val="16"/>
  </w:num>
  <w:num w:numId="9" w16cid:durableId="1718240068">
    <w:abstractNumId w:val="19"/>
  </w:num>
  <w:num w:numId="10" w16cid:durableId="2082024860">
    <w:abstractNumId w:val="1"/>
  </w:num>
  <w:num w:numId="11" w16cid:durableId="1665427215">
    <w:abstractNumId w:val="21"/>
  </w:num>
  <w:num w:numId="12" w16cid:durableId="1419012711">
    <w:abstractNumId w:val="9"/>
  </w:num>
  <w:num w:numId="13" w16cid:durableId="735203614">
    <w:abstractNumId w:val="4"/>
  </w:num>
  <w:num w:numId="14" w16cid:durableId="198250384">
    <w:abstractNumId w:val="12"/>
  </w:num>
  <w:num w:numId="15" w16cid:durableId="209266488">
    <w:abstractNumId w:val="22"/>
  </w:num>
  <w:num w:numId="16" w16cid:durableId="986711748">
    <w:abstractNumId w:val="17"/>
  </w:num>
  <w:num w:numId="17" w16cid:durableId="996226969">
    <w:abstractNumId w:val="5"/>
  </w:num>
  <w:num w:numId="18" w16cid:durableId="494802955">
    <w:abstractNumId w:val="2"/>
  </w:num>
  <w:num w:numId="19" w16cid:durableId="1149514992">
    <w:abstractNumId w:val="10"/>
  </w:num>
  <w:num w:numId="20" w16cid:durableId="539393814">
    <w:abstractNumId w:val="13"/>
  </w:num>
  <w:num w:numId="21" w16cid:durableId="385758224">
    <w:abstractNumId w:val="8"/>
  </w:num>
  <w:num w:numId="22" w16cid:durableId="324940695">
    <w:abstractNumId w:val="18"/>
  </w:num>
  <w:num w:numId="23" w16cid:durableId="1737849207">
    <w:abstractNumId w:val="20"/>
  </w:num>
  <w:num w:numId="24" w16cid:durableId="881133285">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D12"/>
    <w:rsid w:val="000002EA"/>
    <w:rsid w:val="00001498"/>
    <w:rsid w:val="00001573"/>
    <w:rsid w:val="00002AC7"/>
    <w:rsid w:val="000059E5"/>
    <w:rsid w:val="00005E8C"/>
    <w:rsid w:val="000079B0"/>
    <w:rsid w:val="000105CD"/>
    <w:rsid w:val="00012BE1"/>
    <w:rsid w:val="00015584"/>
    <w:rsid w:val="00016185"/>
    <w:rsid w:val="000171F0"/>
    <w:rsid w:val="00017891"/>
    <w:rsid w:val="00026543"/>
    <w:rsid w:val="0002770B"/>
    <w:rsid w:val="00030C41"/>
    <w:rsid w:val="0003110A"/>
    <w:rsid w:val="000318D6"/>
    <w:rsid w:val="000318DA"/>
    <w:rsid w:val="00032B2F"/>
    <w:rsid w:val="00034D66"/>
    <w:rsid w:val="00034E3A"/>
    <w:rsid w:val="00040424"/>
    <w:rsid w:val="00040A79"/>
    <w:rsid w:val="00043662"/>
    <w:rsid w:val="00046858"/>
    <w:rsid w:val="0004705A"/>
    <w:rsid w:val="00047388"/>
    <w:rsid w:val="000474C2"/>
    <w:rsid w:val="0004773F"/>
    <w:rsid w:val="00051550"/>
    <w:rsid w:val="00052FFE"/>
    <w:rsid w:val="000543D7"/>
    <w:rsid w:val="00055437"/>
    <w:rsid w:val="00056D05"/>
    <w:rsid w:val="000637C6"/>
    <w:rsid w:val="00063B60"/>
    <w:rsid w:val="00063F2E"/>
    <w:rsid w:val="00064227"/>
    <w:rsid w:val="000650C4"/>
    <w:rsid w:val="00066E15"/>
    <w:rsid w:val="00067273"/>
    <w:rsid w:val="00070BA3"/>
    <w:rsid w:val="00073F9C"/>
    <w:rsid w:val="00075F3B"/>
    <w:rsid w:val="000770B8"/>
    <w:rsid w:val="00077DCB"/>
    <w:rsid w:val="000804C7"/>
    <w:rsid w:val="00081037"/>
    <w:rsid w:val="000821F3"/>
    <w:rsid w:val="0008371E"/>
    <w:rsid w:val="00083A3E"/>
    <w:rsid w:val="00085C95"/>
    <w:rsid w:val="00086470"/>
    <w:rsid w:val="00086F2B"/>
    <w:rsid w:val="00087E3F"/>
    <w:rsid w:val="0009297C"/>
    <w:rsid w:val="00093B01"/>
    <w:rsid w:val="00094D3E"/>
    <w:rsid w:val="00095049"/>
    <w:rsid w:val="00096DA2"/>
    <w:rsid w:val="00096E62"/>
    <w:rsid w:val="000978D2"/>
    <w:rsid w:val="000A3897"/>
    <w:rsid w:val="000A3898"/>
    <w:rsid w:val="000A5E7F"/>
    <w:rsid w:val="000A7A94"/>
    <w:rsid w:val="000B1ADC"/>
    <w:rsid w:val="000B20CD"/>
    <w:rsid w:val="000B43A2"/>
    <w:rsid w:val="000B54E1"/>
    <w:rsid w:val="000B5D25"/>
    <w:rsid w:val="000B608E"/>
    <w:rsid w:val="000B6C5D"/>
    <w:rsid w:val="000B797A"/>
    <w:rsid w:val="000C0D6B"/>
    <w:rsid w:val="000C108F"/>
    <w:rsid w:val="000C2331"/>
    <w:rsid w:val="000C3517"/>
    <w:rsid w:val="000C4100"/>
    <w:rsid w:val="000C431E"/>
    <w:rsid w:val="000C65E4"/>
    <w:rsid w:val="000C73CB"/>
    <w:rsid w:val="000C79DB"/>
    <w:rsid w:val="000D01B3"/>
    <w:rsid w:val="000D0EC0"/>
    <w:rsid w:val="000D3AC9"/>
    <w:rsid w:val="000D5B33"/>
    <w:rsid w:val="000D6151"/>
    <w:rsid w:val="000E0223"/>
    <w:rsid w:val="000E09E0"/>
    <w:rsid w:val="000E119C"/>
    <w:rsid w:val="000E1567"/>
    <w:rsid w:val="000E224F"/>
    <w:rsid w:val="000E2691"/>
    <w:rsid w:val="000E326B"/>
    <w:rsid w:val="000E3DAA"/>
    <w:rsid w:val="000E3EF1"/>
    <w:rsid w:val="000E3FA6"/>
    <w:rsid w:val="000E51C1"/>
    <w:rsid w:val="000E5633"/>
    <w:rsid w:val="000E5E77"/>
    <w:rsid w:val="000E717C"/>
    <w:rsid w:val="000F0666"/>
    <w:rsid w:val="000F0BA6"/>
    <w:rsid w:val="000F284B"/>
    <w:rsid w:val="000F3203"/>
    <w:rsid w:val="000F3583"/>
    <w:rsid w:val="000F37A3"/>
    <w:rsid w:val="000F3D34"/>
    <w:rsid w:val="000F4052"/>
    <w:rsid w:val="000F4459"/>
    <w:rsid w:val="000F45F5"/>
    <w:rsid w:val="00100DC1"/>
    <w:rsid w:val="00101886"/>
    <w:rsid w:val="00101D25"/>
    <w:rsid w:val="0010278A"/>
    <w:rsid w:val="001038BC"/>
    <w:rsid w:val="00103FF5"/>
    <w:rsid w:val="00104459"/>
    <w:rsid w:val="00104B7D"/>
    <w:rsid w:val="00105434"/>
    <w:rsid w:val="00105A73"/>
    <w:rsid w:val="00107FB7"/>
    <w:rsid w:val="0011045A"/>
    <w:rsid w:val="00110A35"/>
    <w:rsid w:val="00110F7D"/>
    <w:rsid w:val="001119A0"/>
    <w:rsid w:val="0011204E"/>
    <w:rsid w:val="00113607"/>
    <w:rsid w:val="001160B3"/>
    <w:rsid w:val="00117785"/>
    <w:rsid w:val="00117EE4"/>
    <w:rsid w:val="00121A69"/>
    <w:rsid w:val="00122004"/>
    <w:rsid w:val="0012299B"/>
    <w:rsid w:val="00123E86"/>
    <w:rsid w:val="00124042"/>
    <w:rsid w:val="00125803"/>
    <w:rsid w:val="00125E01"/>
    <w:rsid w:val="00126DB0"/>
    <w:rsid w:val="00127AFF"/>
    <w:rsid w:val="00130872"/>
    <w:rsid w:val="00130C1F"/>
    <w:rsid w:val="00130D8A"/>
    <w:rsid w:val="00130E0B"/>
    <w:rsid w:val="0013337C"/>
    <w:rsid w:val="001345FF"/>
    <w:rsid w:val="0013612D"/>
    <w:rsid w:val="00137CC7"/>
    <w:rsid w:val="001411D1"/>
    <w:rsid w:val="0014163E"/>
    <w:rsid w:val="00142B8E"/>
    <w:rsid w:val="00145411"/>
    <w:rsid w:val="00145AD5"/>
    <w:rsid w:val="0014713F"/>
    <w:rsid w:val="00151EF5"/>
    <w:rsid w:val="00154A5A"/>
    <w:rsid w:val="00154CC9"/>
    <w:rsid w:val="00156245"/>
    <w:rsid w:val="00157DCD"/>
    <w:rsid w:val="001612D9"/>
    <w:rsid w:val="0016166D"/>
    <w:rsid w:val="001638C1"/>
    <w:rsid w:val="0016419C"/>
    <w:rsid w:val="00165827"/>
    <w:rsid w:val="001673CC"/>
    <w:rsid w:val="00171E21"/>
    <w:rsid w:val="0017231B"/>
    <w:rsid w:val="00172B2F"/>
    <w:rsid w:val="00174657"/>
    <w:rsid w:val="00175BFE"/>
    <w:rsid w:val="00180A31"/>
    <w:rsid w:val="00183653"/>
    <w:rsid w:val="001840EE"/>
    <w:rsid w:val="001849B0"/>
    <w:rsid w:val="001859E9"/>
    <w:rsid w:val="00186228"/>
    <w:rsid w:val="001928E0"/>
    <w:rsid w:val="0019292F"/>
    <w:rsid w:val="0019341A"/>
    <w:rsid w:val="001955F7"/>
    <w:rsid w:val="00195C84"/>
    <w:rsid w:val="00195ED7"/>
    <w:rsid w:val="001972C9"/>
    <w:rsid w:val="001A276A"/>
    <w:rsid w:val="001A54A5"/>
    <w:rsid w:val="001A7B24"/>
    <w:rsid w:val="001B0DA9"/>
    <w:rsid w:val="001B2A9D"/>
    <w:rsid w:val="001B5175"/>
    <w:rsid w:val="001B574C"/>
    <w:rsid w:val="001B7972"/>
    <w:rsid w:val="001C0E7E"/>
    <w:rsid w:val="001C11E4"/>
    <w:rsid w:val="001C1985"/>
    <w:rsid w:val="001C2503"/>
    <w:rsid w:val="001C2534"/>
    <w:rsid w:val="001C279B"/>
    <w:rsid w:val="001C5FE4"/>
    <w:rsid w:val="001C6FB9"/>
    <w:rsid w:val="001D0853"/>
    <w:rsid w:val="001D1986"/>
    <w:rsid w:val="001D2881"/>
    <w:rsid w:val="001D3EA5"/>
    <w:rsid w:val="001D6F62"/>
    <w:rsid w:val="001D70C6"/>
    <w:rsid w:val="001E08A9"/>
    <w:rsid w:val="001E1B7C"/>
    <w:rsid w:val="001E224E"/>
    <w:rsid w:val="001E3385"/>
    <w:rsid w:val="001E3E84"/>
    <w:rsid w:val="001E50E2"/>
    <w:rsid w:val="001E66AF"/>
    <w:rsid w:val="001E68E2"/>
    <w:rsid w:val="001F061F"/>
    <w:rsid w:val="001F0981"/>
    <w:rsid w:val="001F3563"/>
    <w:rsid w:val="001F533D"/>
    <w:rsid w:val="001F5376"/>
    <w:rsid w:val="001F6719"/>
    <w:rsid w:val="001F7369"/>
    <w:rsid w:val="001F75BB"/>
    <w:rsid w:val="001F7723"/>
    <w:rsid w:val="001F7DA9"/>
    <w:rsid w:val="00200619"/>
    <w:rsid w:val="002034B4"/>
    <w:rsid w:val="00210035"/>
    <w:rsid w:val="002102DE"/>
    <w:rsid w:val="00210BC9"/>
    <w:rsid w:val="002111C0"/>
    <w:rsid w:val="00212134"/>
    <w:rsid w:val="002150F3"/>
    <w:rsid w:val="00215E45"/>
    <w:rsid w:val="002177B5"/>
    <w:rsid w:val="00217E0E"/>
    <w:rsid w:val="00220099"/>
    <w:rsid w:val="00222FCC"/>
    <w:rsid w:val="00224AA0"/>
    <w:rsid w:val="00225471"/>
    <w:rsid w:val="00226269"/>
    <w:rsid w:val="00230971"/>
    <w:rsid w:val="00231297"/>
    <w:rsid w:val="00231326"/>
    <w:rsid w:val="00231F95"/>
    <w:rsid w:val="00233039"/>
    <w:rsid w:val="0023328A"/>
    <w:rsid w:val="002340F8"/>
    <w:rsid w:val="002369CE"/>
    <w:rsid w:val="002376E6"/>
    <w:rsid w:val="002414DB"/>
    <w:rsid w:val="00241604"/>
    <w:rsid w:val="00242BCF"/>
    <w:rsid w:val="00242F58"/>
    <w:rsid w:val="00244311"/>
    <w:rsid w:val="00247056"/>
    <w:rsid w:val="002474E3"/>
    <w:rsid w:val="00250F6B"/>
    <w:rsid w:val="00251CBC"/>
    <w:rsid w:val="002551F7"/>
    <w:rsid w:val="00257145"/>
    <w:rsid w:val="002606A5"/>
    <w:rsid w:val="0026300A"/>
    <w:rsid w:val="002637FF"/>
    <w:rsid w:val="00265B1B"/>
    <w:rsid w:val="0027128B"/>
    <w:rsid w:val="00274670"/>
    <w:rsid w:val="002751BE"/>
    <w:rsid w:val="002760EF"/>
    <w:rsid w:val="002778C7"/>
    <w:rsid w:val="00277EF3"/>
    <w:rsid w:val="00280A7E"/>
    <w:rsid w:val="00282FB5"/>
    <w:rsid w:val="00283195"/>
    <w:rsid w:val="002842E0"/>
    <w:rsid w:val="0028518E"/>
    <w:rsid w:val="002866D3"/>
    <w:rsid w:val="0029035F"/>
    <w:rsid w:val="002905E7"/>
    <w:rsid w:val="00290AA9"/>
    <w:rsid w:val="002971D8"/>
    <w:rsid w:val="002A00D4"/>
    <w:rsid w:val="002A022F"/>
    <w:rsid w:val="002A04CF"/>
    <w:rsid w:val="002A2639"/>
    <w:rsid w:val="002A3D10"/>
    <w:rsid w:val="002A4B40"/>
    <w:rsid w:val="002A53D6"/>
    <w:rsid w:val="002A5718"/>
    <w:rsid w:val="002A573A"/>
    <w:rsid w:val="002A64CD"/>
    <w:rsid w:val="002A7D65"/>
    <w:rsid w:val="002B2AAC"/>
    <w:rsid w:val="002B2D9A"/>
    <w:rsid w:val="002B34AC"/>
    <w:rsid w:val="002B44F2"/>
    <w:rsid w:val="002B77F4"/>
    <w:rsid w:val="002C1DB3"/>
    <w:rsid w:val="002C478A"/>
    <w:rsid w:val="002C572A"/>
    <w:rsid w:val="002C694C"/>
    <w:rsid w:val="002C6FB6"/>
    <w:rsid w:val="002C7A49"/>
    <w:rsid w:val="002D430E"/>
    <w:rsid w:val="002D4863"/>
    <w:rsid w:val="002D695D"/>
    <w:rsid w:val="002D6BBF"/>
    <w:rsid w:val="002E04BA"/>
    <w:rsid w:val="002E1E67"/>
    <w:rsid w:val="002E29BA"/>
    <w:rsid w:val="002E2D49"/>
    <w:rsid w:val="002E2E6C"/>
    <w:rsid w:val="002E3165"/>
    <w:rsid w:val="002E37B6"/>
    <w:rsid w:val="002E4D00"/>
    <w:rsid w:val="002E7887"/>
    <w:rsid w:val="002E7974"/>
    <w:rsid w:val="002F0040"/>
    <w:rsid w:val="002F08E0"/>
    <w:rsid w:val="002F2668"/>
    <w:rsid w:val="002F28AF"/>
    <w:rsid w:val="002F440B"/>
    <w:rsid w:val="00300404"/>
    <w:rsid w:val="0030142D"/>
    <w:rsid w:val="00301DF7"/>
    <w:rsid w:val="0030311A"/>
    <w:rsid w:val="003051AE"/>
    <w:rsid w:val="00305FF8"/>
    <w:rsid w:val="00305FFC"/>
    <w:rsid w:val="00306CDE"/>
    <w:rsid w:val="00306FEB"/>
    <w:rsid w:val="00311208"/>
    <w:rsid w:val="00311286"/>
    <w:rsid w:val="003121AE"/>
    <w:rsid w:val="00312403"/>
    <w:rsid w:val="003125E0"/>
    <w:rsid w:val="00313E7B"/>
    <w:rsid w:val="003162B5"/>
    <w:rsid w:val="003174F9"/>
    <w:rsid w:val="00317B34"/>
    <w:rsid w:val="0032135C"/>
    <w:rsid w:val="0032319B"/>
    <w:rsid w:val="00323D45"/>
    <w:rsid w:val="00331228"/>
    <w:rsid w:val="003329FE"/>
    <w:rsid w:val="00332F8C"/>
    <w:rsid w:val="00334B38"/>
    <w:rsid w:val="00334F35"/>
    <w:rsid w:val="003358CA"/>
    <w:rsid w:val="00335C02"/>
    <w:rsid w:val="00335FFD"/>
    <w:rsid w:val="00336662"/>
    <w:rsid w:val="00336D1A"/>
    <w:rsid w:val="00336E67"/>
    <w:rsid w:val="00337645"/>
    <w:rsid w:val="00340100"/>
    <w:rsid w:val="00340907"/>
    <w:rsid w:val="003419FF"/>
    <w:rsid w:val="003431CC"/>
    <w:rsid w:val="00343D84"/>
    <w:rsid w:val="0034451B"/>
    <w:rsid w:val="00344852"/>
    <w:rsid w:val="00345087"/>
    <w:rsid w:val="00345D8A"/>
    <w:rsid w:val="00346B2C"/>
    <w:rsid w:val="003503E2"/>
    <w:rsid w:val="003519C8"/>
    <w:rsid w:val="00354833"/>
    <w:rsid w:val="00354DBE"/>
    <w:rsid w:val="0035504C"/>
    <w:rsid w:val="00356B3B"/>
    <w:rsid w:val="00357FF3"/>
    <w:rsid w:val="0036029D"/>
    <w:rsid w:val="00363153"/>
    <w:rsid w:val="0036478D"/>
    <w:rsid w:val="00365BE3"/>
    <w:rsid w:val="00366309"/>
    <w:rsid w:val="00367DB4"/>
    <w:rsid w:val="00372581"/>
    <w:rsid w:val="00373506"/>
    <w:rsid w:val="00373E9D"/>
    <w:rsid w:val="00374960"/>
    <w:rsid w:val="003756C9"/>
    <w:rsid w:val="0037662E"/>
    <w:rsid w:val="003768A8"/>
    <w:rsid w:val="00376D26"/>
    <w:rsid w:val="0037746A"/>
    <w:rsid w:val="003776A7"/>
    <w:rsid w:val="00380057"/>
    <w:rsid w:val="0038150A"/>
    <w:rsid w:val="003820D7"/>
    <w:rsid w:val="003832CE"/>
    <w:rsid w:val="00383ACE"/>
    <w:rsid w:val="00386A19"/>
    <w:rsid w:val="003872AF"/>
    <w:rsid w:val="00390A00"/>
    <w:rsid w:val="00390F2E"/>
    <w:rsid w:val="00392149"/>
    <w:rsid w:val="00392B3F"/>
    <w:rsid w:val="003A1383"/>
    <w:rsid w:val="003A190C"/>
    <w:rsid w:val="003A1E3D"/>
    <w:rsid w:val="003A2D82"/>
    <w:rsid w:val="003A45C6"/>
    <w:rsid w:val="003A4B56"/>
    <w:rsid w:val="003A5364"/>
    <w:rsid w:val="003A5952"/>
    <w:rsid w:val="003A7BDE"/>
    <w:rsid w:val="003B168D"/>
    <w:rsid w:val="003B36B0"/>
    <w:rsid w:val="003B3C33"/>
    <w:rsid w:val="003B5031"/>
    <w:rsid w:val="003B55B8"/>
    <w:rsid w:val="003C0A87"/>
    <w:rsid w:val="003C0E62"/>
    <w:rsid w:val="003C2E4E"/>
    <w:rsid w:val="003C396F"/>
    <w:rsid w:val="003C449C"/>
    <w:rsid w:val="003C59F7"/>
    <w:rsid w:val="003C6A4E"/>
    <w:rsid w:val="003D15C5"/>
    <w:rsid w:val="003D41D5"/>
    <w:rsid w:val="003D4246"/>
    <w:rsid w:val="003D57C1"/>
    <w:rsid w:val="003D6FFF"/>
    <w:rsid w:val="003E229E"/>
    <w:rsid w:val="003E29C9"/>
    <w:rsid w:val="003E37EE"/>
    <w:rsid w:val="003E3D94"/>
    <w:rsid w:val="003E3F22"/>
    <w:rsid w:val="003E4797"/>
    <w:rsid w:val="003E4DC7"/>
    <w:rsid w:val="003E57BC"/>
    <w:rsid w:val="003E5E12"/>
    <w:rsid w:val="003E6149"/>
    <w:rsid w:val="003E71DA"/>
    <w:rsid w:val="003F0992"/>
    <w:rsid w:val="003F17BF"/>
    <w:rsid w:val="003F24F1"/>
    <w:rsid w:val="003F2FF9"/>
    <w:rsid w:val="003F3BE9"/>
    <w:rsid w:val="003F615E"/>
    <w:rsid w:val="003F785F"/>
    <w:rsid w:val="004001E9"/>
    <w:rsid w:val="004003E5"/>
    <w:rsid w:val="004015D7"/>
    <w:rsid w:val="00402FE7"/>
    <w:rsid w:val="0040449B"/>
    <w:rsid w:val="00405688"/>
    <w:rsid w:val="00405FCB"/>
    <w:rsid w:val="004069B1"/>
    <w:rsid w:val="0041029D"/>
    <w:rsid w:val="004103E4"/>
    <w:rsid w:val="0041172E"/>
    <w:rsid w:val="00413BD0"/>
    <w:rsid w:val="00414E05"/>
    <w:rsid w:val="004153A2"/>
    <w:rsid w:val="004157DC"/>
    <w:rsid w:val="00415B58"/>
    <w:rsid w:val="004204FE"/>
    <w:rsid w:val="00420A62"/>
    <w:rsid w:val="00420BAA"/>
    <w:rsid w:val="00421125"/>
    <w:rsid w:val="004221ED"/>
    <w:rsid w:val="004221F9"/>
    <w:rsid w:val="00422FDE"/>
    <w:rsid w:val="0042372C"/>
    <w:rsid w:val="00423B26"/>
    <w:rsid w:val="0042454E"/>
    <w:rsid w:val="0042461A"/>
    <w:rsid w:val="00425495"/>
    <w:rsid w:val="00425FE0"/>
    <w:rsid w:val="004300B8"/>
    <w:rsid w:val="00432B17"/>
    <w:rsid w:val="00432EF7"/>
    <w:rsid w:val="004339F8"/>
    <w:rsid w:val="00434AC5"/>
    <w:rsid w:val="00435875"/>
    <w:rsid w:val="004428CF"/>
    <w:rsid w:val="004428F9"/>
    <w:rsid w:val="004437F4"/>
    <w:rsid w:val="00447370"/>
    <w:rsid w:val="00451D63"/>
    <w:rsid w:val="004523A7"/>
    <w:rsid w:val="00452827"/>
    <w:rsid w:val="004537CA"/>
    <w:rsid w:val="00453E94"/>
    <w:rsid w:val="004548CF"/>
    <w:rsid w:val="00455774"/>
    <w:rsid w:val="00455F87"/>
    <w:rsid w:val="00456AD4"/>
    <w:rsid w:val="00457A67"/>
    <w:rsid w:val="00460801"/>
    <w:rsid w:val="00460C1B"/>
    <w:rsid w:val="0046244A"/>
    <w:rsid w:val="00463AEA"/>
    <w:rsid w:val="004661F3"/>
    <w:rsid w:val="00466605"/>
    <w:rsid w:val="0046707A"/>
    <w:rsid w:val="00470D45"/>
    <w:rsid w:val="00471527"/>
    <w:rsid w:val="00472994"/>
    <w:rsid w:val="00474ECE"/>
    <w:rsid w:val="004759BC"/>
    <w:rsid w:val="00475EC9"/>
    <w:rsid w:val="00475EDF"/>
    <w:rsid w:val="00477B72"/>
    <w:rsid w:val="00477E79"/>
    <w:rsid w:val="004817C6"/>
    <w:rsid w:val="0048382A"/>
    <w:rsid w:val="004857D0"/>
    <w:rsid w:val="00485A49"/>
    <w:rsid w:val="00485C19"/>
    <w:rsid w:val="00487352"/>
    <w:rsid w:val="00487C1F"/>
    <w:rsid w:val="00487DC0"/>
    <w:rsid w:val="00490AB9"/>
    <w:rsid w:val="00491B9A"/>
    <w:rsid w:val="00491FC0"/>
    <w:rsid w:val="00492193"/>
    <w:rsid w:val="004952DE"/>
    <w:rsid w:val="004953DC"/>
    <w:rsid w:val="004957A9"/>
    <w:rsid w:val="00495A7F"/>
    <w:rsid w:val="00496D0E"/>
    <w:rsid w:val="00496E00"/>
    <w:rsid w:val="00497F4D"/>
    <w:rsid w:val="004A2340"/>
    <w:rsid w:val="004A4605"/>
    <w:rsid w:val="004A51F0"/>
    <w:rsid w:val="004A5EEA"/>
    <w:rsid w:val="004B1E12"/>
    <w:rsid w:val="004B50B6"/>
    <w:rsid w:val="004B5F56"/>
    <w:rsid w:val="004C1441"/>
    <w:rsid w:val="004C25C3"/>
    <w:rsid w:val="004C6860"/>
    <w:rsid w:val="004C762D"/>
    <w:rsid w:val="004D0156"/>
    <w:rsid w:val="004D0CAB"/>
    <w:rsid w:val="004D21B3"/>
    <w:rsid w:val="004D49A1"/>
    <w:rsid w:val="004D588A"/>
    <w:rsid w:val="004D5F7F"/>
    <w:rsid w:val="004D6443"/>
    <w:rsid w:val="004D77A5"/>
    <w:rsid w:val="004D7C6B"/>
    <w:rsid w:val="004E19B2"/>
    <w:rsid w:val="004E1D68"/>
    <w:rsid w:val="004E2733"/>
    <w:rsid w:val="004E311C"/>
    <w:rsid w:val="004E3B37"/>
    <w:rsid w:val="004E5A91"/>
    <w:rsid w:val="004E6AEE"/>
    <w:rsid w:val="004E72A1"/>
    <w:rsid w:val="004F01CF"/>
    <w:rsid w:val="004F301C"/>
    <w:rsid w:val="004F3F0B"/>
    <w:rsid w:val="00501D35"/>
    <w:rsid w:val="00502617"/>
    <w:rsid w:val="00503347"/>
    <w:rsid w:val="00505B22"/>
    <w:rsid w:val="00505CB9"/>
    <w:rsid w:val="00512564"/>
    <w:rsid w:val="00513138"/>
    <w:rsid w:val="00513DE9"/>
    <w:rsid w:val="00514928"/>
    <w:rsid w:val="005150D3"/>
    <w:rsid w:val="00516231"/>
    <w:rsid w:val="00516298"/>
    <w:rsid w:val="00517BAC"/>
    <w:rsid w:val="00520C18"/>
    <w:rsid w:val="00521093"/>
    <w:rsid w:val="00521534"/>
    <w:rsid w:val="00521AB2"/>
    <w:rsid w:val="0052288D"/>
    <w:rsid w:val="005228E2"/>
    <w:rsid w:val="00525637"/>
    <w:rsid w:val="00526B6D"/>
    <w:rsid w:val="00526FCB"/>
    <w:rsid w:val="00527377"/>
    <w:rsid w:val="0052784F"/>
    <w:rsid w:val="00532872"/>
    <w:rsid w:val="0053367D"/>
    <w:rsid w:val="00533D92"/>
    <w:rsid w:val="00533EBE"/>
    <w:rsid w:val="00537821"/>
    <w:rsid w:val="005401B3"/>
    <w:rsid w:val="00540A0E"/>
    <w:rsid w:val="00541774"/>
    <w:rsid w:val="005419CE"/>
    <w:rsid w:val="005425CC"/>
    <w:rsid w:val="00542863"/>
    <w:rsid w:val="00543329"/>
    <w:rsid w:val="00543BFB"/>
    <w:rsid w:val="0054445B"/>
    <w:rsid w:val="00544C54"/>
    <w:rsid w:val="00545DB3"/>
    <w:rsid w:val="005461E4"/>
    <w:rsid w:val="005466BE"/>
    <w:rsid w:val="005468F5"/>
    <w:rsid w:val="005469CC"/>
    <w:rsid w:val="00546A9A"/>
    <w:rsid w:val="00550464"/>
    <w:rsid w:val="00550D5B"/>
    <w:rsid w:val="00550F8C"/>
    <w:rsid w:val="00551CEF"/>
    <w:rsid w:val="0055264E"/>
    <w:rsid w:val="00552BC7"/>
    <w:rsid w:val="00553924"/>
    <w:rsid w:val="0055449B"/>
    <w:rsid w:val="00554DBC"/>
    <w:rsid w:val="00555D3A"/>
    <w:rsid w:val="00557EE8"/>
    <w:rsid w:val="00567A17"/>
    <w:rsid w:val="00567F47"/>
    <w:rsid w:val="00570150"/>
    <w:rsid w:val="005708ED"/>
    <w:rsid w:val="00571603"/>
    <w:rsid w:val="00572AB1"/>
    <w:rsid w:val="00573661"/>
    <w:rsid w:val="005739C5"/>
    <w:rsid w:val="00574F84"/>
    <w:rsid w:val="00575AE4"/>
    <w:rsid w:val="0057659A"/>
    <w:rsid w:val="00583021"/>
    <w:rsid w:val="0058363C"/>
    <w:rsid w:val="00585640"/>
    <w:rsid w:val="00586B8E"/>
    <w:rsid w:val="00587A9D"/>
    <w:rsid w:val="00590453"/>
    <w:rsid w:val="00590464"/>
    <w:rsid w:val="00592B2F"/>
    <w:rsid w:val="00592CFB"/>
    <w:rsid w:val="00593FA4"/>
    <w:rsid w:val="00594CA0"/>
    <w:rsid w:val="00595DC3"/>
    <w:rsid w:val="00596B78"/>
    <w:rsid w:val="005A260C"/>
    <w:rsid w:val="005A3541"/>
    <w:rsid w:val="005A5878"/>
    <w:rsid w:val="005A5AD9"/>
    <w:rsid w:val="005A6976"/>
    <w:rsid w:val="005A6E5E"/>
    <w:rsid w:val="005B0674"/>
    <w:rsid w:val="005B0D39"/>
    <w:rsid w:val="005B0F70"/>
    <w:rsid w:val="005B1705"/>
    <w:rsid w:val="005B24C1"/>
    <w:rsid w:val="005B2D14"/>
    <w:rsid w:val="005B3553"/>
    <w:rsid w:val="005B5363"/>
    <w:rsid w:val="005B5D62"/>
    <w:rsid w:val="005B6863"/>
    <w:rsid w:val="005B774D"/>
    <w:rsid w:val="005C0CAC"/>
    <w:rsid w:val="005C1E6C"/>
    <w:rsid w:val="005C4A27"/>
    <w:rsid w:val="005C50D3"/>
    <w:rsid w:val="005C5C92"/>
    <w:rsid w:val="005C62F8"/>
    <w:rsid w:val="005C7F46"/>
    <w:rsid w:val="005D2282"/>
    <w:rsid w:val="005D3723"/>
    <w:rsid w:val="005D4EB9"/>
    <w:rsid w:val="005D63B1"/>
    <w:rsid w:val="005E04CC"/>
    <w:rsid w:val="005E0C17"/>
    <w:rsid w:val="005E0D76"/>
    <w:rsid w:val="005E0DD3"/>
    <w:rsid w:val="005E18F3"/>
    <w:rsid w:val="005E2077"/>
    <w:rsid w:val="005E25E4"/>
    <w:rsid w:val="005E5B84"/>
    <w:rsid w:val="005E65DD"/>
    <w:rsid w:val="005E6C76"/>
    <w:rsid w:val="005E7D95"/>
    <w:rsid w:val="005E7F7C"/>
    <w:rsid w:val="005F13F0"/>
    <w:rsid w:val="005F1B50"/>
    <w:rsid w:val="005F1CA7"/>
    <w:rsid w:val="005F1CB1"/>
    <w:rsid w:val="005F1ED1"/>
    <w:rsid w:val="005F4D08"/>
    <w:rsid w:val="005F7B1E"/>
    <w:rsid w:val="006015BB"/>
    <w:rsid w:val="00602594"/>
    <w:rsid w:val="00602787"/>
    <w:rsid w:val="006076A5"/>
    <w:rsid w:val="006139A4"/>
    <w:rsid w:val="0061422E"/>
    <w:rsid w:val="006167CD"/>
    <w:rsid w:val="0061697C"/>
    <w:rsid w:val="00616E89"/>
    <w:rsid w:val="00621AF6"/>
    <w:rsid w:val="00621C4B"/>
    <w:rsid w:val="0062263D"/>
    <w:rsid w:val="00622BE6"/>
    <w:rsid w:val="006235E0"/>
    <w:rsid w:val="006237EE"/>
    <w:rsid w:val="0062519C"/>
    <w:rsid w:val="00626B69"/>
    <w:rsid w:val="00627E49"/>
    <w:rsid w:val="00630F45"/>
    <w:rsid w:val="00631B0C"/>
    <w:rsid w:val="006334C3"/>
    <w:rsid w:val="0063418C"/>
    <w:rsid w:val="00634555"/>
    <w:rsid w:val="0063608A"/>
    <w:rsid w:val="00637DB7"/>
    <w:rsid w:val="006402E9"/>
    <w:rsid w:val="00640F4F"/>
    <w:rsid w:val="006412CB"/>
    <w:rsid w:val="00642877"/>
    <w:rsid w:val="006457ED"/>
    <w:rsid w:val="006468F0"/>
    <w:rsid w:val="006469B3"/>
    <w:rsid w:val="00647681"/>
    <w:rsid w:val="00650CF4"/>
    <w:rsid w:val="00653ADD"/>
    <w:rsid w:val="00653CB4"/>
    <w:rsid w:val="006571F2"/>
    <w:rsid w:val="00657E18"/>
    <w:rsid w:val="00662B1D"/>
    <w:rsid w:val="00664048"/>
    <w:rsid w:val="00671860"/>
    <w:rsid w:val="006722C7"/>
    <w:rsid w:val="00672C6B"/>
    <w:rsid w:val="0067372F"/>
    <w:rsid w:val="006737A2"/>
    <w:rsid w:val="006742E1"/>
    <w:rsid w:val="00675152"/>
    <w:rsid w:val="006752FC"/>
    <w:rsid w:val="00675BFA"/>
    <w:rsid w:val="00676084"/>
    <w:rsid w:val="00677293"/>
    <w:rsid w:val="0067752C"/>
    <w:rsid w:val="0068178B"/>
    <w:rsid w:val="0068193A"/>
    <w:rsid w:val="00683D5E"/>
    <w:rsid w:val="0068691E"/>
    <w:rsid w:val="006871FD"/>
    <w:rsid w:val="00691000"/>
    <w:rsid w:val="00693594"/>
    <w:rsid w:val="00693BC4"/>
    <w:rsid w:val="00693E2E"/>
    <w:rsid w:val="00695AF5"/>
    <w:rsid w:val="006A00C4"/>
    <w:rsid w:val="006A0832"/>
    <w:rsid w:val="006A29E2"/>
    <w:rsid w:val="006A3722"/>
    <w:rsid w:val="006A4F04"/>
    <w:rsid w:val="006A5208"/>
    <w:rsid w:val="006B1A2D"/>
    <w:rsid w:val="006B37D4"/>
    <w:rsid w:val="006B38D4"/>
    <w:rsid w:val="006B4AEC"/>
    <w:rsid w:val="006B5202"/>
    <w:rsid w:val="006B57B3"/>
    <w:rsid w:val="006B7D6C"/>
    <w:rsid w:val="006C03FF"/>
    <w:rsid w:val="006C0B46"/>
    <w:rsid w:val="006C1CC7"/>
    <w:rsid w:val="006C1DB7"/>
    <w:rsid w:val="006C20EF"/>
    <w:rsid w:val="006C2251"/>
    <w:rsid w:val="006C3C06"/>
    <w:rsid w:val="006C3D6C"/>
    <w:rsid w:val="006C4D79"/>
    <w:rsid w:val="006C50AE"/>
    <w:rsid w:val="006C600D"/>
    <w:rsid w:val="006C69E6"/>
    <w:rsid w:val="006C73D5"/>
    <w:rsid w:val="006D0DBD"/>
    <w:rsid w:val="006D16FF"/>
    <w:rsid w:val="006D1F76"/>
    <w:rsid w:val="006D53EB"/>
    <w:rsid w:val="006D57BF"/>
    <w:rsid w:val="006D7428"/>
    <w:rsid w:val="006E25EE"/>
    <w:rsid w:val="006E27A6"/>
    <w:rsid w:val="006E47B8"/>
    <w:rsid w:val="006E491D"/>
    <w:rsid w:val="006E5749"/>
    <w:rsid w:val="006E623C"/>
    <w:rsid w:val="006F03A5"/>
    <w:rsid w:val="006F1744"/>
    <w:rsid w:val="006F21BC"/>
    <w:rsid w:val="006F6FB0"/>
    <w:rsid w:val="007005C9"/>
    <w:rsid w:val="007017C7"/>
    <w:rsid w:val="00702164"/>
    <w:rsid w:val="007038E0"/>
    <w:rsid w:val="00705C6E"/>
    <w:rsid w:val="00713A98"/>
    <w:rsid w:val="007168DC"/>
    <w:rsid w:val="007178CE"/>
    <w:rsid w:val="00720A1E"/>
    <w:rsid w:val="00721353"/>
    <w:rsid w:val="00721BDD"/>
    <w:rsid w:val="00726FA0"/>
    <w:rsid w:val="00727AAF"/>
    <w:rsid w:val="00730363"/>
    <w:rsid w:val="00730871"/>
    <w:rsid w:val="00732F6B"/>
    <w:rsid w:val="0073343F"/>
    <w:rsid w:val="00735664"/>
    <w:rsid w:val="00736077"/>
    <w:rsid w:val="00740EA0"/>
    <w:rsid w:val="00747010"/>
    <w:rsid w:val="00747270"/>
    <w:rsid w:val="00752894"/>
    <w:rsid w:val="0075471E"/>
    <w:rsid w:val="00754D42"/>
    <w:rsid w:val="00755F7D"/>
    <w:rsid w:val="007573F7"/>
    <w:rsid w:val="00760060"/>
    <w:rsid w:val="00761D00"/>
    <w:rsid w:val="00762A63"/>
    <w:rsid w:val="00763C03"/>
    <w:rsid w:val="00763CE5"/>
    <w:rsid w:val="00766B0D"/>
    <w:rsid w:val="0077017D"/>
    <w:rsid w:val="00770C6E"/>
    <w:rsid w:val="007719A6"/>
    <w:rsid w:val="00772945"/>
    <w:rsid w:val="00775FE5"/>
    <w:rsid w:val="0077650C"/>
    <w:rsid w:val="007769D8"/>
    <w:rsid w:val="00783052"/>
    <w:rsid w:val="00783912"/>
    <w:rsid w:val="00784156"/>
    <w:rsid w:val="00784A69"/>
    <w:rsid w:val="0078663F"/>
    <w:rsid w:val="0078689E"/>
    <w:rsid w:val="00786A49"/>
    <w:rsid w:val="007873DC"/>
    <w:rsid w:val="00790B93"/>
    <w:rsid w:val="00791735"/>
    <w:rsid w:val="00792187"/>
    <w:rsid w:val="007927A3"/>
    <w:rsid w:val="00793233"/>
    <w:rsid w:val="00793C7A"/>
    <w:rsid w:val="0079522D"/>
    <w:rsid w:val="0079643D"/>
    <w:rsid w:val="00796579"/>
    <w:rsid w:val="00797C4B"/>
    <w:rsid w:val="007A264A"/>
    <w:rsid w:val="007A2C73"/>
    <w:rsid w:val="007A2F73"/>
    <w:rsid w:val="007A30BC"/>
    <w:rsid w:val="007A4495"/>
    <w:rsid w:val="007A4DC5"/>
    <w:rsid w:val="007A4F4F"/>
    <w:rsid w:val="007A6BD3"/>
    <w:rsid w:val="007A78C8"/>
    <w:rsid w:val="007B1396"/>
    <w:rsid w:val="007B211E"/>
    <w:rsid w:val="007B2172"/>
    <w:rsid w:val="007B403F"/>
    <w:rsid w:val="007B4995"/>
    <w:rsid w:val="007B6012"/>
    <w:rsid w:val="007B74D1"/>
    <w:rsid w:val="007C0A6B"/>
    <w:rsid w:val="007C13AF"/>
    <w:rsid w:val="007C2EAC"/>
    <w:rsid w:val="007C322D"/>
    <w:rsid w:val="007C4360"/>
    <w:rsid w:val="007C4891"/>
    <w:rsid w:val="007C4DBC"/>
    <w:rsid w:val="007C6C72"/>
    <w:rsid w:val="007C6CF3"/>
    <w:rsid w:val="007C7898"/>
    <w:rsid w:val="007C7E43"/>
    <w:rsid w:val="007D00E1"/>
    <w:rsid w:val="007D0AF3"/>
    <w:rsid w:val="007D2123"/>
    <w:rsid w:val="007D2C18"/>
    <w:rsid w:val="007D3D25"/>
    <w:rsid w:val="007D5D8F"/>
    <w:rsid w:val="007D63B4"/>
    <w:rsid w:val="007D654A"/>
    <w:rsid w:val="007D6758"/>
    <w:rsid w:val="007D7B2F"/>
    <w:rsid w:val="007E2952"/>
    <w:rsid w:val="007E3CC5"/>
    <w:rsid w:val="007E3FEB"/>
    <w:rsid w:val="007E7EC1"/>
    <w:rsid w:val="007E7EE4"/>
    <w:rsid w:val="007F05C3"/>
    <w:rsid w:val="007F0838"/>
    <w:rsid w:val="007F3196"/>
    <w:rsid w:val="007F5252"/>
    <w:rsid w:val="007F61F5"/>
    <w:rsid w:val="007F69DD"/>
    <w:rsid w:val="007F72AA"/>
    <w:rsid w:val="007F760C"/>
    <w:rsid w:val="007F7BE7"/>
    <w:rsid w:val="00804A43"/>
    <w:rsid w:val="00805285"/>
    <w:rsid w:val="00811755"/>
    <w:rsid w:val="00811B94"/>
    <w:rsid w:val="008131D9"/>
    <w:rsid w:val="00813B6E"/>
    <w:rsid w:val="00816AC0"/>
    <w:rsid w:val="00816DF5"/>
    <w:rsid w:val="00821345"/>
    <w:rsid w:val="008223DA"/>
    <w:rsid w:val="00822E13"/>
    <w:rsid w:val="00822F30"/>
    <w:rsid w:val="00822F81"/>
    <w:rsid w:val="008238AD"/>
    <w:rsid w:val="00823BC2"/>
    <w:rsid w:val="0082436F"/>
    <w:rsid w:val="0082486F"/>
    <w:rsid w:val="008250B2"/>
    <w:rsid w:val="00826924"/>
    <w:rsid w:val="008278C3"/>
    <w:rsid w:val="0083087B"/>
    <w:rsid w:val="0083123F"/>
    <w:rsid w:val="0083356D"/>
    <w:rsid w:val="0083442F"/>
    <w:rsid w:val="0083662F"/>
    <w:rsid w:val="0083716B"/>
    <w:rsid w:val="00837518"/>
    <w:rsid w:val="0084456A"/>
    <w:rsid w:val="00846144"/>
    <w:rsid w:val="00847BDE"/>
    <w:rsid w:val="00847D01"/>
    <w:rsid w:val="00847DAF"/>
    <w:rsid w:val="00852F20"/>
    <w:rsid w:val="0085340B"/>
    <w:rsid w:val="00853B52"/>
    <w:rsid w:val="008558FD"/>
    <w:rsid w:val="00856B62"/>
    <w:rsid w:val="00856D40"/>
    <w:rsid w:val="00857032"/>
    <w:rsid w:val="00857B16"/>
    <w:rsid w:val="008617AA"/>
    <w:rsid w:val="0086181D"/>
    <w:rsid w:val="00863BF9"/>
    <w:rsid w:val="00863C51"/>
    <w:rsid w:val="0086490A"/>
    <w:rsid w:val="00864E42"/>
    <w:rsid w:val="0086554C"/>
    <w:rsid w:val="00865B22"/>
    <w:rsid w:val="00867702"/>
    <w:rsid w:val="008700BE"/>
    <w:rsid w:val="00870A10"/>
    <w:rsid w:val="00870C0B"/>
    <w:rsid w:val="00870C5E"/>
    <w:rsid w:val="0087209C"/>
    <w:rsid w:val="008722BE"/>
    <w:rsid w:val="00873F30"/>
    <w:rsid w:val="00876698"/>
    <w:rsid w:val="00877180"/>
    <w:rsid w:val="00880C63"/>
    <w:rsid w:val="00880E76"/>
    <w:rsid w:val="00883350"/>
    <w:rsid w:val="0088544A"/>
    <w:rsid w:val="00886588"/>
    <w:rsid w:val="008870F3"/>
    <w:rsid w:val="008871FB"/>
    <w:rsid w:val="00887C68"/>
    <w:rsid w:val="00887FB6"/>
    <w:rsid w:val="008900ED"/>
    <w:rsid w:val="008907BB"/>
    <w:rsid w:val="00890AFE"/>
    <w:rsid w:val="00890CE3"/>
    <w:rsid w:val="00890E72"/>
    <w:rsid w:val="00891113"/>
    <w:rsid w:val="00892C31"/>
    <w:rsid w:val="00893007"/>
    <w:rsid w:val="008959FB"/>
    <w:rsid w:val="00895A44"/>
    <w:rsid w:val="00895C3C"/>
    <w:rsid w:val="008A02C2"/>
    <w:rsid w:val="008A2019"/>
    <w:rsid w:val="008A2263"/>
    <w:rsid w:val="008A2356"/>
    <w:rsid w:val="008A2729"/>
    <w:rsid w:val="008A2956"/>
    <w:rsid w:val="008A3635"/>
    <w:rsid w:val="008A4E6D"/>
    <w:rsid w:val="008A71EB"/>
    <w:rsid w:val="008B0E46"/>
    <w:rsid w:val="008B1176"/>
    <w:rsid w:val="008B1374"/>
    <w:rsid w:val="008B322D"/>
    <w:rsid w:val="008B4302"/>
    <w:rsid w:val="008B5352"/>
    <w:rsid w:val="008B6B7D"/>
    <w:rsid w:val="008B7C84"/>
    <w:rsid w:val="008C0EA6"/>
    <w:rsid w:val="008C2355"/>
    <w:rsid w:val="008C2861"/>
    <w:rsid w:val="008C6843"/>
    <w:rsid w:val="008D0C3C"/>
    <w:rsid w:val="008D1C61"/>
    <w:rsid w:val="008D2A5B"/>
    <w:rsid w:val="008D3474"/>
    <w:rsid w:val="008D4351"/>
    <w:rsid w:val="008D4A66"/>
    <w:rsid w:val="008D5505"/>
    <w:rsid w:val="008D6847"/>
    <w:rsid w:val="008D7A03"/>
    <w:rsid w:val="008D7B80"/>
    <w:rsid w:val="008E29D8"/>
    <w:rsid w:val="008E31F0"/>
    <w:rsid w:val="008E4EB5"/>
    <w:rsid w:val="008E51E0"/>
    <w:rsid w:val="008E5322"/>
    <w:rsid w:val="008F0181"/>
    <w:rsid w:val="008F12FE"/>
    <w:rsid w:val="008F1BEC"/>
    <w:rsid w:val="008F2CE7"/>
    <w:rsid w:val="008F57D7"/>
    <w:rsid w:val="008F73FA"/>
    <w:rsid w:val="008F7795"/>
    <w:rsid w:val="008F7801"/>
    <w:rsid w:val="00902F73"/>
    <w:rsid w:val="00903F33"/>
    <w:rsid w:val="009044EA"/>
    <w:rsid w:val="0090528F"/>
    <w:rsid w:val="0090551F"/>
    <w:rsid w:val="009065C6"/>
    <w:rsid w:val="0090755A"/>
    <w:rsid w:val="00910366"/>
    <w:rsid w:val="00910994"/>
    <w:rsid w:val="00910A87"/>
    <w:rsid w:val="00910C34"/>
    <w:rsid w:val="00910C7D"/>
    <w:rsid w:val="0091146D"/>
    <w:rsid w:val="009129F1"/>
    <w:rsid w:val="00913341"/>
    <w:rsid w:val="00914B3E"/>
    <w:rsid w:val="0091551D"/>
    <w:rsid w:val="00915B7D"/>
    <w:rsid w:val="00916864"/>
    <w:rsid w:val="00917D2A"/>
    <w:rsid w:val="0092093C"/>
    <w:rsid w:val="009213DE"/>
    <w:rsid w:val="009215DA"/>
    <w:rsid w:val="0092216B"/>
    <w:rsid w:val="00922DE2"/>
    <w:rsid w:val="009236E1"/>
    <w:rsid w:val="00924F08"/>
    <w:rsid w:val="009251AF"/>
    <w:rsid w:val="009308EB"/>
    <w:rsid w:val="009318C1"/>
    <w:rsid w:val="00932D40"/>
    <w:rsid w:val="009331CC"/>
    <w:rsid w:val="009356D8"/>
    <w:rsid w:val="00935EF6"/>
    <w:rsid w:val="00937535"/>
    <w:rsid w:val="00940781"/>
    <w:rsid w:val="009417A9"/>
    <w:rsid w:val="009441B2"/>
    <w:rsid w:val="00945247"/>
    <w:rsid w:val="0094548A"/>
    <w:rsid w:val="00945A46"/>
    <w:rsid w:val="00950E53"/>
    <w:rsid w:val="0095174C"/>
    <w:rsid w:val="0095482E"/>
    <w:rsid w:val="00957299"/>
    <w:rsid w:val="0096110D"/>
    <w:rsid w:val="00962BCD"/>
    <w:rsid w:val="00963A56"/>
    <w:rsid w:val="0096497C"/>
    <w:rsid w:val="00965F4D"/>
    <w:rsid w:val="00965FE8"/>
    <w:rsid w:val="009665AA"/>
    <w:rsid w:val="00967814"/>
    <w:rsid w:val="0097381F"/>
    <w:rsid w:val="00973BFF"/>
    <w:rsid w:val="00974303"/>
    <w:rsid w:val="00976B3D"/>
    <w:rsid w:val="00977FF5"/>
    <w:rsid w:val="00980FA5"/>
    <w:rsid w:val="00985C9B"/>
    <w:rsid w:val="0098699A"/>
    <w:rsid w:val="0098739A"/>
    <w:rsid w:val="00991B1F"/>
    <w:rsid w:val="00991EBA"/>
    <w:rsid w:val="00991EFF"/>
    <w:rsid w:val="009927AD"/>
    <w:rsid w:val="0099314E"/>
    <w:rsid w:val="009939F8"/>
    <w:rsid w:val="00994200"/>
    <w:rsid w:val="00994E8C"/>
    <w:rsid w:val="00994ED4"/>
    <w:rsid w:val="0099616B"/>
    <w:rsid w:val="009A30C8"/>
    <w:rsid w:val="009A3576"/>
    <w:rsid w:val="009A46E0"/>
    <w:rsid w:val="009A4D05"/>
    <w:rsid w:val="009A5769"/>
    <w:rsid w:val="009A6607"/>
    <w:rsid w:val="009B0562"/>
    <w:rsid w:val="009B1DE6"/>
    <w:rsid w:val="009B29B5"/>
    <w:rsid w:val="009B438F"/>
    <w:rsid w:val="009B44E1"/>
    <w:rsid w:val="009B4859"/>
    <w:rsid w:val="009B49C2"/>
    <w:rsid w:val="009B59E4"/>
    <w:rsid w:val="009C112A"/>
    <w:rsid w:val="009C3472"/>
    <w:rsid w:val="009C45D2"/>
    <w:rsid w:val="009C58E7"/>
    <w:rsid w:val="009C7377"/>
    <w:rsid w:val="009C74EA"/>
    <w:rsid w:val="009D0024"/>
    <w:rsid w:val="009D0B22"/>
    <w:rsid w:val="009D3141"/>
    <w:rsid w:val="009D3645"/>
    <w:rsid w:val="009D480A"/>
    <w:rsid w:val="009D4D24"/>
    <w:rsid w:val="009D55E4"/>
    <w:rsid w:val="009D5A23"/>
    <w:rsid w:val="009D5AF7"/>
    <w:rsid w:val="009D679F"/>
    <w:rsid w:val="009D6F2E"/>
    <w:rsid w:val="009E00D2"/>
    <w:rsid w:val="009E13AC"/>
    <w:rsid w:val="009E1B51"/>
    <w:rsid w:val="009E1B95"/>
    <w:rsid w:val="009E3910"/>
    <w:rsid w:val="009E4FA4"/>
    <w:rsid w:val="009E52C3"/>
    <w:rsid w:val="009E56A2"/>
    <w:rsid w:val="009E64C3"/>
    <w:rsid w:val="009E7621"/>
    <w:rsid w:val="009E76A4"/>
    <w:rsid w:val="009E7750"/>
    <w:rsid w:val="009E7C9F"/>
    <w:rsid w:val="009F16F9"/>
    <w:rsid w:val="009F614F"/>
    <w:rsid w:val="009F6301"/>
    <w:rsid w:val="009F6737"/>
    <w:rsid w:val="009F6E87"/>
    <w:rsid w:val="00A00F79"/>
    <w:rsid w:val="00A0136F"/>
    <w:rsid w:val="00A020E2"/>
    <w:rsid w:val="00A032B3"/>
    <w:rsid w:val="00A03C9A"/>
    <w:rsid w:val="00A116A7"/>
    <w:rsid w:val="00A11F5B"/>
    <w:rsid w:val="00A12701"/>
    <w:rsid w:val="00A13D2B"/>
    <w:rsid w:val="00A141DB"/>
    <w:rsid w:val="00A14759"/>
    <w:rsid w:val="00A14F6F"/>
    <w:rsid w:val="00A14FD0"/>
    <w:rsid w:val="00A16C68"/>
    <w:rsid w:val="00A20C20"/>
    <w:rsid w:val="00A23504"/>
    <w:rsid w:val="00A246F5"/>
    <w:rsid w:val="00A25E14"/>
    <w:rsid w:val="00A30B74"/>
    <w:rsid w:val="00A31E71"/>
    <w:rsid w:val="00A32EE2"/>
    <w:rsid w:val="00A335F6"/>
    <w:rsid w:val="00A35853"/>
    <w:rsid w:val="00A36111"/>
    <w:rsid w:val="00A36B14"/>
    <w:rsid w:val="00A36D90"/>
    <w:rsid w:val="00A42131"/>
    <w:rsid w:val="00A422FD"/>
    <w:rsid w:val="00A433DC"/>
    <w:rsid w:val="00A43F36"/>
    <w:rsid w:val="00A4471D"/>
    <w:rsid w:val="00A45252"/>
    <w:rsid w:val="00A45AB7"/>
    <w:rsid w:val="00A466AE"/>
    <w:rsid w:val="00A47255"/>
    <w:rsid w:val="00A507FE"/>
    <w:rsid w:val="00A51847"/>
    <w:rsid w:val="00A535F4"/>
    <w:rsid w:val="00A54842"/>
    <w:rsid w:val="00A54BE4"/>
    <w:rsid w:val="00A54F8D"/>
    <w:rsid w:val="00A602E1"/>
    <w:rsid w:val="00A61D11"/>
    <w:rsid w:val="00A621EA"/>
    <w:rsid w:val="00A62896"/>
    <w:rsid w:val="00A62992"/>
    <w:rsid w:val="00A651F8"/>
    <w:rsid w:val="00A67DA1"/>
    <w:rsid w:val="00A71103"/>
    <w:rsid w:val="00A72001"/>
    <w:rsid w:val="00A7568E"/>
    <w:rsid w:val="00A764CB"/>
    <w:rsid w:val="00A76977"/>
    <w:rsid w:val="00A76EFA"/>
    <w:rsid w:val="00A803B6"/>
    <w:rsid w:val="00A81904"/>
    <w:rsid w:val="00A82969"/>
    <w:rsid w:val="00A82DEF"/>
    <w:rsid w:val="00A82E30"/>
    <w:rsid w:val="00A83337"/>
    <w:rsid w:val="00A83C8A"/>
    <w:rsid w:val="00A84275"/>
    <w:rsid w:val="00A85302"/>
    <w:rsid w:val="00A8703C"/>
    <w:rsid w:val="00A87BAE"/>
    <w:rsid w:val="00A92410"/>
    <w:rsid w:val="00A9791A"/>
    <w:rsid w:val="00AA0385"/>
    <w:rsid w:val="00AA1EF8"/>
    <w:rsid w:val="00AA28EC"/>
    <w:rsid w:val="00AA2CC4"/>
    <w:rsid w:val="00AA33F4"/>
    <w:rsid w:val="00AA4045"/>
    <w:rsid w:val="00AA59EB"/>
    <w:rsid w:val="00AA7320"/>
    <w:rsid w:val="00AB12DC"/>
    <w:rsid w:val="00AB19FB"/>
    <w:rsid w:val="00AB2228"/>
    <w:rsid w:val="00AB2E88"/>
    <w:rsid w:val="00AB45B6"/>
    <w:rsid w:val="00AB46B0"/>
    <w:rsid w:val="00AB6369"/>
    <w:rsid w:val="00AB7431"/>
    <w:rsid w:val="00AC0E30"/>
    <w:rsid w:val="00AC1435"/>
    <w:rsid w:val="00AC2441"/>
    <w:rsid w:val="00AC33EB"/>
    <w:rsid w:val="00AC3BDA"/>
    <w:rsid w:val="00AC3CDE"/>
    <w:rsid w:val="00AC6E92"/>
    <w:rsid w:val="00AD2B15"/>
    <w:rsid w:val="00AD431F"/>
    <w:rsid w:val="00AD45CE"/>
    <w:rsid w:val="00AD5297"/>
    <w:rsid w:val="00AD649F"/>
    <w:rsid w:val="00AD686D"/>
    <w:rsid w:val="00AD700A"/>
    <w:rsid w:val="00AD75B9"/>
    <w:rsid w:val="00AD7ED6"/>
    <w:rsid w:val="00AE0C70"/>
    <w:rsid w:val="00AE17A4"/>
    <w:rsid w:val="00AE6E38"/>
    <w:rsid w:val="00AF00F6"/>
    <w:rsid w:val="00AF028E"/>
    <w:rsid w:val="00AF0338"/>
    <w:rsid w:val="00AF12DB"/>
    <w:rsid w:val="00AF3C3A"/>
    <w:rsid w:val="00AF555B"/>
    <w:rsid w:val="00AF6FF9"/>
    <w:rsid w:val="00B0001A"/>
    <w:rsid w:val="00B010FA"/>
    <w:rsid w:val="00B0396E"/>
    <w:rsid w:val="00B03F66"/>
    <w:rsid w:val="00B0460F"/>
    <w:rsid w:val="00B0502B"/>
    <w:rsid w:val="00B0540E"/>
    <w:rsid w:val="00B06DF8"/>
    <w:rsid w:val="00B07E3A"/>
    <w:rsid w:val="00B10A61"/>
    <w:rsid w:val="00B12F38"/>
    <w:rsid w:val="00B15D77"/>
    <w:rsid w:val="00B21393"/>
    <w:rsid w:val="00B2181B"/>
    <w:rsid w:val="00B21DB3"/>
    <w:rsid w:val="00B22DB6"/>
    <w:rsid w:val="00B23723"/>
    <w:rsid w:val="00B23BBA"/>
    <w:rsid w:val="00B255E6"/>
    <w:rsid w:val="00B26859"/>
    <w:rsid w:val="00B2762B"/>
    <w:rsid w:val="00B27B34"/>
    <w:rsid w:val="00B27B7C"/>
    <w:rsid w:val="00B3275E"/>
    <w:rsid w:val="00B3486D"/>
    <w:rsid w:val="00B371CD"/>
    <w:rsid w:val="00B4008C"/>
    <w:rsid w:val="00B40CBC"/>
    <w:rsid w:val="00B41C69"/>
    <w:rsid w:val="00B441C4"/>
    <w:rsid w:val="00B44548"/>
    <w:rsid w:val="00B455F8"/>
    <w:rsid w:val="00B461F7"/>
    <w:rsid w:val="00B477B5"/>
    <w:rsid w:val="00B503F2"/>
    <w:rsid w:val="00B52428"/>
    <w:rsid w:val="00B54EBF"/>
    <w:rsid w:val="00B55926"/>
    <w:rsid w:val="00B55CAF"/>
    <w:rsid w:val="00B560A2"/>
    <w:rsid w:val="00B57011"/>
    <w:rsid w:val="00B61BFC"/>
    <w:rsid w:val="00B61C29"/>
    <w:rsid w:val="00B65E2A"/>
    <w:rsid w:val="00B660CC"/>
    <w:rsid w:val="00B66ACC"/>
    <w:rsid w:val="00B6742D"/>
    <w:rsid w:val="00B67CC2"/>
    <w:rsid w:val="00B730D2"/>
    <w:rsid w:val="00B737D3"/>
    <w:rsid w:val="00B74F32"/>
    <w:rsid w:val="00B75A43"/>
    <w:rsid w:val="00B76C20"/>
    <w:rsid w:val="00B802E7"/>
    <w:rsid w:val="00B80382"/>
    <w:rsid w:val="00B80C3A"/>
    <w:rsid w:val="00B80DBE"/>
    <w:rsid w:val="00B83267"/>
    <w:rsid w:val="00B83B7A"/>
    <w:rsid w:val="00B8511C"/>
    <w:rsid w:val="00B85FC3"/>
    <w:rsid w:val="00B90446"/>
    <w:rsid w:val="00B9290E"/>
    <w:rsid w:val="00B93327"/>
    <w:rsid w:val="00B93C46"/>
    <w:rsid w:val="00B949D7"/>
    <w:rsid w:val="00B97882"/>
    <w:rsid w:val="00BA0309"/>
    <w:rsid w:val="00BA0AD3"/>
    <w:rsid w:val="00BA28A8"/>
    <w:rsid w:val="00BA4916"/>
    <w:rsid w:val="00BA50A7"/>
    <w:rsid w:val="00BB1A98"/>
    <w:rsid w:val="00BB1FCF"/>
    <w:rsid w:val="00BB34C5"/>
    <w:rsid w:val="00BB50AC"/>
    <w:rsid w:val="00BB5E6F"/>
    <w:rsid w:val="00BB793A"/>
    <w:rsid w:val="00BB7F72"/>
    <w:rsid w:val="00BC0131"/>
    <w:rsid w:val="00BC04F0"/>
    <w:rsid w:val="00BC2AFE"/>
    <w:rsid w:val="00BC3419"/>
    <w:rsid w:val="00BC4B8C"/>
    <w:rsid w:val="00BC586F"/>
    <w:rsid w:val="00BC7A17"/>
    <w:rsid w:val="00BD0F88"/>
    <w:rsid w:val="00BD1895"/>
    <w:rsid w:val="00BD2DC5"/>
    <w:rsid w:val="00BD2E96"/>
    <w:rsid w:val="00BD3539"/>
    <w:rsid w:val="00BD3A3A"/>
    <w:rsid w:val="00BD492C"/>
    <w:rsid w:val="00BD54B6"/>
    <w:rsid w:val="00BD60CB"/>
    <w:rsid w:val="00BD6201"/>
    <w:rsid w:val="00BD6AA2"/>
    <w:rsid w:val="00BE0CA6"/>
    <w:rsid w:val="00BE1A92"/>
    <w:rsid w:val="00BE2C45"/>
    <w:rsid w:val="00BE5932"/>
    <w:rsid w:val="00BE708F"/>
    <w:rsid w:val="00BF099F"/>
    <w:rsid w:val="00BF0EF2"/>
    <w:rsid w:val="00BF1C94"/>
    <w:rsid w:val="00BF1EF7"/>
    <w:rsid w:val="00BF3CC0"/>
    <w:rsid w:val="00BF3E28"/>
    <w:rsid w:val="00BF40C6"/>
    <w:rsid w:val="00BF4217"/>
    <w:rsid w:val="00BF4C90"/>
    <w:rsid w:val="00BF5300"/>
    <w:rsid w:val="00C012AB"/>
    <w:rsid w:val="00C0195E"/>
    <w:rsid w:val="00C01DD4"/>
    <w:rsid w:val="00C02DD8"/>
    <w:rsid w:val="00C0439E"/>
    <w:rsid w:val="00C104CC"/>
    <w:rsid w:val="00C12317"/>
    <w:rsid w:val="00C12CC2"/>
    <w:rsid w:val="00C1449B"/>
    <w:rsid w:val="00C145EC"/>
    <w:rsid w:val="00C16B07"/>
    <w:rsid w:val="00C17FF9"/>
    <w:rsid w:val="00C20205"/>
    <w:rsid w:val="00C2194F"/>
    <w:rsid w:val="00C230E1"/>
    <w:rsid w:val="00C23EC1"/>
    <w:rsid w:val="00C24680"/>
    <w:rsid w:val="00C24AEA"/>
    <w:rsid w:val="00C25D11"/>
    <w:rsid w:val="00C27445"/>
    <w:rsid w:val="00C30286"/>
    <w:rsid w:val="00C31269"/>
    <w:rsid w:val="00C3179D"/>
    <w:rsid w:val="00C3231F"/>
    <w:rsid w:val="00C33A47"/>
    <w:rsid w:val="00C3679F"/>
    <w:rsid w:val="00C37538"/>
    <w:rsid w:val="00C42085"/>
    <w:rsid w:val="00C42BFD"/>
    <w:rsid w:val="00C434CD"/>
    <w:rsid w:val="00C43935"/>
    <w:rsid w:val="00C4480E"/>
    <w:rsid w:val="00C45D61"/>
    <w:rsid w:val="00C5043C"/>
    <w:rsid w:val="00C50B58"/>
    <w:rsid w:val="00C51901"/>
    <w:rsid w:val="00C52C60"/>
    <w:rsid w:val="00C53527"/>
    <w:rsid w:val="00C539B0"/>
    <w:rsid w:val="00C5501C"/>
    <w:rsid w:val="00C55221"/>
    <w:rsid w:val="00C56AF6"/>
    <w:rsid w:val="00C6081A"/>
    <w:rsid w:val="00C62275"/>
    <w:rsid w:val="00C65CA4"/>
    <w:rsid w:val="00C65E06"/>
    <w:rsid w:val="00C67013"/>
    <w:rsid w:val="00C67EDC"/>
    <w:rsid w:val="00C7041A"/>
    <w:rsid w:val="00C736FF"/>
    <w:rsid w:val="00C75722"/>
    <w:rsid w:val="00C76DB2"/>
    <w:rsid w:val="00C805F1"/>
    <w:rsid w:val="00C81D0F"/>
    <w:rsid w:val="00C8277A"/>
    <w:rsid w:val="00C84117"/>
    <w:rsid w:val="00C90344"/>
    <w:rsid w:val="00C91798"/>
    <w:rsid w:val="00C92BC1"/>
    <w:rsid w:val="00C931BE"/>
    <w:rsid w:val="00C94853"/>
    <w:rsid w:val="00C949F4"/>
    <w:rsid w:val="00C9587B"/>
    <w:rsid w:val="00C967BC"/>
    <w:rsid w:val="00CA01C9"/>
    <w:rsid w:val="00CA134E"/>
    <w:rsid w:val="00CA4D4E"/>
    <w:rsid w:val="00CA7F21"/>
    <w:rsid w:val="00CB1050"/>
    <w:rsid w:val="00CB158E"/>
    <w:rsid w:val="00CB1FD5"/>
    <w:rsid w:val="00CB378D"/>
    <w:rsid w:val="00CB463D"/>
    <w:rsid w:val="00CB49B0"/>
    <w:rsid w:val="00CB5C09"/>
    <w:rsid w:val="00CB605B"/>
    <w:rsid w:val="00CC080D"/>
    <w:rsid w:val="00CC0D12"/>
    <w:rsid w:val="00CC2820"/>
    <w:rsid w:val="00CC39A5"/>
    <w:rsid w:val="00CC4E59"/>
    <w:rsid w:val="00CC4FF6"/>
    <w:rsid w:val="00CC7D8A"/>
    <w:rsid w:val="00CD07A8"/>
    <w:rsid w:val="00CD257C"/>
    <w:rsid w:val="00CD58DC"/>
    <w:rsid w:val="00CD63A1"/>
    <w:rsid w:val="00CD6EDF"/>
    <w:rsid w:val="00CE024F"/>
    <w:rsid w:val="00CE29EE"/>
    <w:rsid w:val="00CE2B0D"/>
    <w:rsid w:val="00CE2C22"/>
    <w:rsid w:val="00CF2ED6"/>
    <w:rsid w:val="00CF3373"/>
    <w:rsid w:val="00CF340D"/>
    <w:rsid w:val="00CF467C"/>
    <w:rsid w:val="00CF4924"/>
    <w:rsid w:val="00CF52C9"/>
    <w:rsid w:val="00CF60F4"/>
    <w:rsid w:val="00CF7368"/>
    <w:rsid w:val="00D00B65"/>
    <w:rsid w:val="00D01759"/>
    <w:rsid w:val="00D03851"/>
    <w:rsid w:val="00D05070"/>
    <w:rsid w:val="00D05D37"/>
    <w:rsid w:val="00D061F9"/>
    <w:rsid w:val="00D072AA"/>
    <w:rsid w:val="00D07DE7"/>
    <w:rsid w:val="00D10EB4"/>
    <w:rsid w:val="00D10F82"/>
    <w:rsid w:val="00D1117D"/>
    <w:rsid w:val="00D11A11"/>
    <w:rsid w:val="00D12302"/>
    <w:rsid w:val="00D13BBB"/>
    <w:rsid w:val="00D17639"/>
    <w:rsid w:val="00D201E4"/>
    <w:rsid w:val="00D22276"/>
    <w:rsid w:val="00D23ABA"/>
    <w:rsid w:val="00D23C6C"/>
    <w:rsid w:val="00D2443E"/>
    <w:rsid w:val="00D24831"/>
    <w:rsid w:val="00D24ACD"/>
    <w:rsid w:val="00D262A0"/>
    <w:rsid w:val="00D27479"/>
    <w:rsid w:val="00D32D1B"/>
    <w:rsid w:val="00D3344B"/>
    <w:rsid w:val="00D3413B"/>
    <w:rsid w:val="00D36DF7"/>
    <w:rsid w:val="00D41F59"/>
    <w:rsid w:val="00D430DE"/>
    <w:rsid w:val="00D45344"/>
    <w:rsid w:val="00D45486"/>
    <w:rsid w:val="00D46EC1"/>
    <w:rsid w:val="00D47023"/>
    <w:rsid w:val="00D479A0"/>
    <w:rsid w:val="00D50B97"/>
    <w:rsid w:val="00D51119"/>
    <w:rsid w:val="00D5131A"/>
    <w:rsid w:val="00D516DC"/>
    <w:rsid w:val="00D547CC"/>
    <w:rsid w:val="00D547EE"/>
    <w:rsid w:val="00D54811"/>
    <w:rsid w:val="00D56649"/>
    <w:rsid w:val="00D60FC8"/>
    <w:rsid w:val="00D616A3"/>
    <w:rsid w:val="00D62CB2"/>
    <w:rsid w:val="00D62DCB"/>
    <w:rsid w:val="00D63DF0"/>
    <w:rsid w:val="00D64A15"/>
    <w:rsid w:val="00D65138"/>
    <w:rsid w:val="00D6619F"/>
    <w:rsid w:val="00D6622D"/>
    <w:rsid w:val="00D67D2A"/>
    <w:rsid w:val="00D718EB"/>
    <w:rsid w:val="00D72C18"/>
    <w:rsid w:val="00D745F0"/>
    <w:rsid w:val="00D7657B"/>
    <w:rsid w:val="00D81559"/>
    <w:rsid w:val="00D81B36"/>
    <w:rsid w:val="00D81F6A"/>
    <w:rsid w:val="00D82309"/>
    <w:rsid w:val="00D842A5"/>
    <w:rsid w:val="00D858AF"/>
    <w:rsid w:val="00D86583"/>
    <w:rsid w:val="00D86E0C"/>
    <w:rsid w:val="00D929C4"/>
    <w:rsid w:val="00D942BD"/>
    <w:rsid w:val="00D9562F"/>
    <w:rsid w:val="00DA1971"/>
    <w:rsid w:val="00DA1978"/>
    <w:rsid w:val="00DA1CD7"/>
    <w:rsid w:val="00DA4195"/>
    <w:rsid w:val="00DA4C24"/>
    <w:rsid w:val="00DA544B"/>
    <w:rsid w:val="00DA66C3"/>
    <w:rsid w:val="00DA6845"/>
    <w:rsid w:val="00DB3303"/>
    <w:rsid w:val="00DB4FC1"/>
    <w:rsid w:val="00DB5990"/>
    <w:rsid w:val="00DB6A91"/>
    <w:rsid w:val="00DC0ED0"/>
    <w:rsid w:val="00DC17C2"/>
    <w:rsid w:val="00DC2805"/>
    <w:rsid w:val="00DC359A"/>
    <w:rsid w:val="00DC578A"/>
    <w:rsid w:val="00DC59D6"/>
    <w:rsid w:val="00DC64F6"/>
    <w:rsid w:val="00DC673B"/>
    <w:rsid w:val="00DC761C"/>
    <w:rsid w:val="00DD0509"/>
    <w:rsid w:val="00DD0ED8"/>
    <w:rsid w:val="00DD2EE5"/>
    <w:rsid w:val="00DD351F"/>
    <w:rsid w:val="00DD611C"/>
    <w:rsid w:val="00DD6148"/>
    <w:rsid w:val="00DD6BC1"/>
    <w:rsid w:val="00DE03FC"/>
    <w:rsid w:val="00DE1E15"/>
    <w:rsid w:val="00DE30F0"/>
    <w:rsid w:val="00DE340F"/>
    <w:rsid w:val="00DE40D5"/>
    <w:rsid w:val="00DE5B21"/>
    <w:rsid w:val="00DE610C"/>
    <w:rsid w:val="00DE6353"/>
    <w:rsid w:val="00DF1621"/>
    <w:rsid w:val="00DF2D79"/>
    <w:rsid w:val="00DF2E06"/>
    <w:rsid w:val="00DF387B"/>
    <w:rsid w:val="00DF399D"/>
    <w:rsid w:val="00DF4F9C"/>
    <w:rsid w:val="00DF7542"/>
    <w:rsid w:val="00DF75E4"/>
    <w:rsid w:val="00DF7B9E"/>
    <w:rsid w:val="00E00537"/>
    <w:rsid w:val="00E00F46"/>
    <w:rsid w:val="00E01717"/>
    <w:rsid w:val="00E01E12"/>
    <w:rsid w:val="00E02A11"/>
    <w:rsid w:val="00E053DE"/>
    <w:rsid w:val="00E05424"/>
    <w:rsid w:val="00E0560A"/>
    <w:rsid w:val="00E07379"/>
    <w:rsid w:val="00E07EF1"/>
    <w:rsid w:val="00E1096D"/>
    <w:rsid w:val="00E1097E"/>
    <w:rsid w:val="00E10D91"/>
    <w:rsid w:val="00E13576"/>
    <w:rsid w:val="00E13A91"/>
    <w:rsid w:val="00E14932"/>
    <w:rsid w:val="00E15823"/>
    <w:rsid w:val="00E173D3"/>
    <w:rsid w:val="00E206D3"/>
    <w:rsid w:val="00E23D9D"/>
    <w:rsid w:val="00E24260"/>
    <w:rsid w:val="00E24BAF"/>
    <w:rsid w:val="00E2530D"/>
    <w:rsid w:val="00E31CA7"/>
    <w:rsid w:val="00E326CA"/>
    <w:rsid w:val="00E342F2"/>
    <w:rsid w:val="00E3492B"/>
    <w:rsid w:val="00E402A7"/>
    <w:rsid w:val="00E406DD"/>
    <w:rsid w:val="00E424EF"/>
    <w:rsid w:val="00E429B0"/>
    <w:rsid w:val="00E434D8"/>
    <w:rsid w:val="00E43845"/>
    <w:rsid w:val="00E45111"/>
    <w:rsid w:val="00E451C3"/>
    <w:rsid w:val="00E451C8"/>
    <w:rsid w:val="00E45B70"/>
    <w:rsid w:val="00E45E89"/>
    <w:rsid w:val="00E46134"/>
    <w:rsid w:val="00E47261"/>
    <w:rsid w:val="00E47555"/>
    <w:rsid w:val="00E47C81"/>
    <w:rsid w:val="00E514FD"/>
    <w:rsid w:val="00E53B9A"/>
    <w:rsid w:val="00E54072"/>
    <w:rsid w:val="00E54952"/>
    <w:rsid w:val="00E55282"/>
    <w:rsid w:val="00E57DAB"/>
    <w:rsid w:val="00E604A9"/>
    <w:rsid w:val="00E6175E"/>
    <w:rsid w:val="00E61C69"/>
    <w:rsid w:val="00E62F13"/>
    <w:rsid w:val="00E6503A"/>
    <w:rsid w:val="00E65CC0"/>
    <w:rsid w:val="00E70008"/>
    <w:rsid w:val="00E716B4"/>
    <w:rsid w:val="00E743BD"/>
    <w:rsid w:val="00E747C2"/>
    <w:rsid w:val="00E75FC9"/>
    <w:rsid w:val="00E7662E"/>
    <w:rsid w:val="00E76959"/>
    <w:rsid w:val="00E771A9"/>
    <w:rsid w:val="00E7738B"/>
    <w:rsid w:val="00E77952"/>
    <w:rsid w:val="00E8131A"/>
    <w:rsid w:val="00E8131F"/>
    <w:rsid w:val="00E816A1"/>
    <w:rsid w:val="00E818FF"/>
    <w:rsid w:val="00E82E0B"/>
    <w:rsid w:val="00E838B6"/>
    <w:rsid w:val="00E83AD6"/>
    <w:rsid w:val="00E846D8"/>
    <w:rsid w:val="00E84AA3"/>
    <w:rsid w:val="00E84E42"/>
    <w:rsid w:val="00E87AE9"/>
    <w:rsid w:val="00E901CC"/>
    <w:rsid w:val="00E90F32"/>
    <w:rsid w:val="00E91B8E"/>
    <w:rsid w:val="00E91EC1"/>
    <w:rsid w:val="00E9277D"/>
    <w:rsid w:val="00E92B58"/>
    <w:rsid w:val="00E93244"/>
    <w:rsid w:val="00E94D12"/>
    <w:rsid w:val="00E96103"/>
    <w:rsid w:val="00E96BDD"/>
    <w:rsid w:val="00EA0D09"/>
    <w:rsid w:val="00EA1D28"/>
    <w:rsid w:val="00EA38E9"/>
    <w:rsid w:val="00EA545C"/>
    <w:rsid w:val="00EA58AD"/>
    <w:rsid w:val="00EB2F6D"/>
    <w:rsid w:val="00EB3DED"/>
    <w:rsid w:val="00EB3F4E"/>
    <w:rsid w:val="00EB418D"/>
    <w:rsid w:val="00EB44DC"/>
    <w:rsid w:val="00EB4EE5"/>
    <w:rsid w:val="00EB6394"/>
    <w:rsid w:val="00EB7A7A"/>
    <w:rsid w:val="00EC1894"/>
    <w:rsid w:val="00EC1B31"/>
    <w:rsid w:val="00EC3116"/>
    <w:rsid w:val="00EC401E"/>
    <w:rsid w:val="00ED1047"/>
    <w:rsid w:val="00ED10AB"/>
    <w:rsid w:val="00ED2F2E"/>
    <w:rsid w:val="00ED3D62"/>
    <w:rsid w:val="00ED5775"/>
    <w:rsid w:val="00ED5B3E"/>
    <w:rsid w:val="00ED66A8"/>
    <w:rsid w:val="00EE3AB3"/>
    <w:rsid w:val="00EE3EF1"/>
    <w:rsid w:val="00EE583C"/>
    <w:rsid w:val="00EE6A7A"/>
    <w:rsid w:val="00EF0F39"/>
    <w:rsid w:val="00EF6409"/>
    <w:rsid w:val="00F01FF7"/>
    <w:rsid w:val="00F0265B"/>
    <w:rsid w:val="00F02D98"/>
    <w:rsid w:val="00F031FB"/>
    <w:rsid w:val="00F05478"/>
    <w:rsid w:val="00F054AA"/>
    <w:rsid w:val="00F05C01"/>
    <w:rsid w:val="00F108C9"/>
    <w:rsid w:val="00F120EB"/>
    <w:rsid w:val="00F13215"/>
    <w:rsid w:val="00F135EF"/>
    <w:rsid w:val="00F13FF4"/>
    <w:rsid w:val="00F142FC"/>
    <w:rsid w:val="00F14B9E"/>
    <w:rsid w:val="00F16E3C"/>
    <w:rsid w:val="00F16FB6"/>
    <w:rsid w:val="00F20583"/>
    <w:rsid w:val="00F21B34"/>
    <w:rsid w:val="00F23D10"/>
    <w:rsid w:val="00F24F40"/>
    <w:rsid w:val="00F26A3F"/>
    <w:rsid w:val="00F2706E"/>
    <w:rsid w:val="00F30234"/>
    <w:rsid w:val="00F31799"/>
    <w:rsid w:val="00F31D0D"/>
    <w:rsid w:val="00F35E0C"/>
    <w:rsid w:val="00F3746C"/>
    <w:rsid w:val="00F41FFD"/>
    <w:rsid w:val="00F4251A"/>
    <w:rsid w:val="00F44C9A"/>
    <w:rsid w:val="00F4528C"/>
    <w:rsid w:val="00F47A0E"/>
    <w:rsid w:val="00F536BB"/>
    <w:rsid w:val="00F536C3"/>
    <w:rsid w:val="00F54946"/>
    <w:rsid w:val="00F54A2D"/>
    <w:rsid w:val="00F54B3A"/>
    <w:rsid w:val="00F55C25"/>
    <w:rsid w:val="00F56103"/>
    <w:rsid w:val="00F56136"/>
    <w:rsid w:val="00F56480"/>
    <w:rsid w:val="00F57279"/>
    <w:rsid w:val="00F5731F"/>
    <w:rsid w:val="00F57666"/>
    <w:rsid w:val="00F576DA"/>
    <w:rsid w:val="00F632DF"/>
    <w:rsid w:val="00F633B6"/>
    <w:rsid w:val="00F63534"/>
    <w:rsid w:val="00F6418F"/>
    <w:rsid w:val="00F66C6F"/>
    <w:rsid w:val="00F67D5F"/>
    <w:rsid w:val="00F70E21"/>
    <w:rsid w:val="00F72BC9"/>
    <w:rsid w:val="00F735EA"/>
    <w:rsid w:val="00F74A92"/>
    <w:rsid w:val="00F77714"/>
    <w:rsid w:val="00F84478"/>
    <w:rsid w:val="00F84AF0"/>
    <w:rsid w:val="00F858B6"/>
    <w:rsid w:val="00F859D8"/>
    <w:rsid w:val="00F9018D"/>
    <w:rsid w:val="00F917B0"/>
    <w:rsid w:val="00F94F63"/>
    <w:rsid w:val="00F958EC"/>
    <w:rsid w:val="00F97882"/>
    <w:rsid w:val="00F97D3B"/>
    <w:rsid w:val="00FA56ED"/>
    <w:rsid w:val="00FA60B6"/>
    <w:rsid w:val="00FA625E"/>
    <w:rsid w:val="00FA7161"/>
    <w:rsid w:val="00FB12B1"/>
    <w:rsid w:val="00FB297D"/>
    <w:rsid w:val="00FB3035"/>
    <w:rsid w:val="00FB36E4"/>
    <w:rsid w:val="00FB51CF"/>
    <w:rsid w:val="00FC190A"/>
    <w:rsid w:val="00FC547E"/>
    <w:rsid w:val="00FC6347"/>
    <w:rsid w:val="00FC6EB1"/>
    <w:rsid w:val="00FC78CE"/>
    <w:rsid w:val="00FD0978"/>
    <w:rsid w:val="00FD0C7E"/>
    <w:rsid w:val="00FD1450"/>
    <w:rsid w:val="00FD15B2"/>
    <w:rsid w:val="00FD165C"/>
    <w:rsid w:val="00FD4DF5"/>
    <w:rsid w:val="00FD4F12"/>
    <w:rsid w:val="00FD682B"/>
    <w:rsid w:val="00FE0877"/>
    <w:rsid w:val="00FE153B"/>
    <w:rsid w:val="00FE2402"/>
    <w:rsid w:val="00FE3774"/>
    <w:rsid w:val="00FF0791"/>
    <w:rsid w:val="00FF3119"/>
    <w:rsid w:val="00FF3A15"/>
    <w:rsid w:val="00FF4D10"/>
    <w:rsid w:val="00FF548B"/>
    <w:rsid w:val="00FF6B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F15907"/>
  <w15:chartTrackingRefBased/>
  <w15:docId w15:val="{5A908A06-5B64-44CA-A11B-EC0F56770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A87"/>
    <w:pPr>
      <w:spacing w:after="0"/>
      <w:ind w:firstLine="720"/>
      <w:jc w:val="both"/>
    </w:pPr>
    <w:rPr>
      <w:rFonts w:cs="Calibri"/>
      <w:kern w:val="0"/>
      <w:sz w:val="24"/>
      <w:szCs w:val="24"/>
      <w:lang w:val="lv-LV"/>
      <w14:ligatures w14:val="none"/>
    </w:rPr>
  </w:style>
  <w:style w:type="paragraph" w:styleId="Heading1">
    <w:name w:val="heading 1"/>
    <w:basedOn w:val="Normal"/>
    <w:next w:val="Normal"/>
    <w:link w:val="Heading1Char"/>
    <w:uiPriority w:val="9"/>
    <w:qFormat/>
    <w:rsid w:val="006F1744"/>
    <w:pPr>
      <w:keepNext/>
      <w:spacing w:before="240"/>
      <w:jc w:val="center"/>
      <w:outlineLvl w:val="0"/>
    </w:pPr>
    <w:rPr>
      <w:rFonts w:asciiTheme="majorHAnsi" w:eastAsiaTheme="majorEastAsia" w:hAnsiTheme="majorHAnsi" w:cstheme="majorBidi"/>
      <w:b/>
      <w:color w:val="7030A0"/>
      <w:sz w:val="32"/>
      <w:szCs w:val="32"/>
    </w:rPr>
  </w:style>
  <w:style w:type="paragraph" w:styleId="Heading2">
    <w:name w:val="heading 2"/>
    <w:basedOn w:val="Heading1"/>
    <w:next w:val="Normal"/>
    <w:link w:val="Heading2Char"/>
    <w:uiPriority w:val="9"/>
    <w:unhideWhenUsed/>
    <w:qFormat/>
    <w:rsid w:val="006F1744"/>
    <w:pPr>
      <w:outlineLvl w:val="1"/>
    </w:pPr>
    <w:rPr>
      <w:b w:val="0"/>
    </w:rPr>
  </w:style>
  <w:style w:type="paragraph" w:styleId="Heading3">
    <w:name w:val="heading 3"/>
    <w:basedOn w:val="Normal"/>
    <w:next w:val="Normal"/>
    <w:link w:val="Heading3Char"/>
    <w:uiPriority w:val="9"/>
    <w:unhideWhenUsed/>
    <w:qFormat/>
    <w:rsid w:val="006F1744"/>
    <w:pPr>
      <w:keepNext/>
      <w:spacing w:before="40"/>
      <w:outlineLvl w:val="2"/>
    </w:pPr>
    <w:rPr>
      <w:rFonts w:asciiTheme="majorHAnsi" w:eastAsiaTheme="majorEastAsia" w:hAnsiTheme="majorHAnsi" w:cstheme="majorBidi"/>
      <w:b/>
      <w:color w:val="7030A0"/>
    </w:rPr>
  </w:style>
  <w:style w:type="paragraph" w:styleId="Heading4">
    <w:name w:val="heading 4"/>
    <w:basedOn w:val="Normal"/>
    <w:next w:val="Normal"/>
    <w:link w:val="Heading4Char"/>
    <w:uiPriority w:val="9"/>
    <w:unhideWhenUsed/>
    <w:qFormat/>
    <w:rsid w:val="00491B9A"/>
    <w:pPr>
      <w:keepNext/>
      <w:spacing w:before="40"/>
      <w:outlineLvl w:val="3"/>
    </w:pPr>
    <w:rPr>
      <w:rFonts w:asciiTheme="majorHAnsi" w:eastAsiaTheme="majorEastAsia" w:hAnsiTheme="majorHAnsi" w:cstheme="majorBidi"/>
      <w:color w:val="7030A0"/>
    </w:rPr>
  </w:style>
  <w:style w:type="paragraph" w:styleId="Heading5">
    <w:name w:val="heading 5"/>
    <w:basedOn w:val="Normal"/>
    <w:next w:val="Normal"/>
    <w:link w:val="Heading5Char"/>
    <w:uiPriority w:val="9"/>
    <w:unhideWhenUsed/>
    <w:qFormat/>
    <w:rsid w:val="007D3D25"/>
    <w:pPr>
      <w:keepNext/>
      <w:spacing w:before="40"/>
      <w:outlineLvl w:val="4"/>
    </w:pPr>
    <w:rPr>
      <w:rFonts w:asciiTheme="majorHAnsi" w:eastAsiaTheme="majorEastAsia" w:hAnsiTheme="majorHAnsi" w:cstheme="majorBidi"/>
      <w:i/>
      <w:iCs/>
      <w:color w:val="7030A0"/>
    </w:rPr>
  </w:style>
  <w:style w:type="paragraph" w:styleId="Heading6">
    <w:name w:val="heading 6"/>
    <w:basedOn w:val="Normal"/>
    <w:next w:val="Normal"/>
    <w:link w:val="Heading6Char"/>
    <w:uiPriority w:val="9"/>
    <w:unhideWhenUsed/>
    <w:qFormat/>
    <w:rsid w:val="00B80382"/>
    <w:pPr>
      <w:keepNext/>
      <w:spacing w:before="4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00B80382"/>
    <w:pPr>
      <w:keepNext/>
      <w:spacing w:before="4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00B80382"/>
    <w:pPr>
      <w:keepNext/>
      <w:spacing w:before="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00B80382"/>
    <w:pPr>
      <w:keepNext/>
      <w:spacing w:before="4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1744"/>
    <w:rPr>
      <w:rFonts w:asciiTheme="majorHAnsi" w:eastAsiaTheme="majorEastAsia" w:hAnsiTheme="majorHAnsi" w:cstheme="majorBidi"/>
      <w:b/>
      <w:color w:val="7030A0"/>
      <w:kern w:val="0"/>
      <w:sz w:val="32"/>
      <w:szCs w:val="32"/>
      <w:lang w:val="lv-LV"/>
      <w14:ligatures w14:val="none"/>
    </w:rPr>
  </w:style>
  <w:style w:type="character" w:customStyle="1" w:styleId="Heading2Char">
    <w:name w:val="Heading 2 Char"/>
    <w:basedOn w:val="DefaultParagraphFont"/>
    <w:link w:val="Heading2"/>
    <w:uiPriority w:val="9"/>
    <w:rsid w:val="006F1744"/>
    <w:rPr>
      <w:rFonts w:asciiTheme="majorHAnsi" w:eastAsiaTheme="majorEastAsia" w:hAnsiTheme="majorHAnsi" w:cstheme="majorBidi"/>
      <w:b/>
      <w:color w:val="7030A0"/>
      <w:kern w:val="0"/>
      <w:sz w:val="32"/>
      <w:szCs w:val="32"/>
      <w:lang w:val="lv-LV"/>
      <w14:ligatures w14:val="none"/>
    </w:rPr>
  </w:style>
  <w:style w:type="character" w:customStyle="1" w:styleId="Heading3Char">
    <w:name w:val="Heading 3 Char"/>
    <w:basedOn w:val="DefaultParagraphFont"/>
    <w:link w:val="Heading3"/>
    <w:uiPriority w:val="9"/>
    <w:rsid w:val="006F1744"/>
    <w:rPr>
      <w:rFonts w:asciiTheme="majorHAnsi" w:eastAsiaTheme="majorEastAsia" w:hAnsiTheme="majorHAnsi" w:cstheme="majorBidi"/>
      <w:b/>
      <w:color w:val="7030A0"/>
      <w:kern w:val="0"/>
      <w:sz w:val="24"/>
      <w:szCs w:val="24"/>
      <w:lang w:val="lv-LV"/>
      <w14:ligatures w14:val="none"/>
    </w:rPr>
  </w:style>
  <w:style w:type="character" w:customStyle="1" w:styleId="Heading4Char">
    <w:name w:val="Heading 4 Char"/>
    <w:basedOn w:val="DefaultParagraphFont"/>
    <w:link w:val="Heading4"/>
    <w:uiPriority w:val="9"/>
    <w:rsid w:val="00491B9A"/>
    <w:rPr>
      <w:rFonts w:asciiTheme="majorHAnsi" w:eastAsiaTheme="majorEastAsia" w:hAnsiTheme="majorHAnsi" w:cstheme="majorBidi"/>
      <w:color w:val="7030A0"/>
      <w:kern w:val="0"/>
      <w:sz w:val="24"/>
      <w:szCs w:val="24"/>
      <w:lang w:val="lv-LV"/>
      <w14:ligatures w14:val="none"/>
    </w:rPr>
  </w:style>
  <w:style w:type="character" w:customStyle="1" w:styleId="Heading5Char">
    <w:name w:val="Heading 5 Char"/>
    <w:basedOn w:val="DefaultParagraphFont"/>
    <w:link w:val="Heading5"/>
    <w:uiPriority w:val="9"/>
    <w:rsid w:val="007D3D25"/>
    <w:rPr>
      <w:rFonts w:asciiTheme="majorHAnsi" w:eastAsiaTheme="majorEastAsia" w:hAnsiTheme="majorHAnsi" w:cstheme="majorBidi"/>
      <w:i/>
      <w:iCs/>
      <w:color w:val="7030A0"/>
      <w:kern w:val="0"/>
      <w:sz w:val="24"/>
      <w:szCs w:val="24"/>
      <w:lang w:val="lv-LV"/>
      <w14:ligatures w14:val="none"/>
    </w:rPr>
  </w:style>
  <w:style w:type="character" w:customStyle="1" w:styleId="Heading6Char">
    <w:name w:val="Heading 6 Char"/>
    <w:basedOn w:val="DefaultParagraphFont"/>
    <w:link w:val="Heading6"/>
    <w:uiPriority w:val="9"/>
    <w:rsid w:val="00B80382"/>
    <w:rPr>
      <w:rFonts w:asciiTheme="majorHAnsi" w:eastAsiaTheme="majorEastAsia" w:hAnsiTheme="majorHAnsi" w:cstheme="majorBidi"/>
      <w:color w:val="1F3763"/>
      <w:kern w:val="0"/>
      <w:sz w:val="24"/>
      <w:szCs w:val="24"/>
      <w:lang w:val="lv-LV"/>
      <w14:ligatures w14:val="none"/>
    </w:rPr>
  </w:style>
  <w:style w:type="character" w:customStyle="1" w:styleId="Heading7Char">
    <w:name w:val="Heading 7 Char"/>
    <w:basedOn w:val="DefaultParagraphFont"/>
    <w:link w:val="Heading7"/>
    <w:uiPriority w:val="9"/>
    <w:rsid w:val="00B80382"/>
    <w:rPr>
      <w:rFonts w:asciiTheme="majorHAnsi" w:eastAsiaTheme="majorEastAsia" w:hAnsiTheme="majorHAnsi" w:cstheme="majorBidi"/>
      <w:i/>
      <w:iCs/>
      <w:color w:val="1F3763"/>
      <w:kern w:val="0"/>
      <w:sz w:val="24"/>
      <w:szCs w:val="24"/>
      <w:lang w:val="lv-LV"/>
      <w14:ligatures w14:val="none"/>
    </w:rPr>
  </w:style>
  <w:style w:type="character" w:customStyle="1" w:styleId="Heading8Char">
    <w:name w:val="Heading 8 Char"/>
    <w:basedOn w:val="DefaultParagraphFont"/>
    <w:link w:val="Heading8"/>
    <w:uiPriority w:val="9"/>
    <w:rsid w:val="00B80382"/>
    <w:rPr>
      <w:rFonts w:asciiTheme="majorHAnsi" w:eastAsiaTheme="majorEastAsia" w:hAnsiTheme="majorHAnsi" w:cstheme="majorBidi"/>
      <w:color w:val="272727"/>
      <w:kern w:val="0"/>
      <w:sz w:val="21"/>
      <w:szCs w:val="21"/>
      <w:lang w:val="lv-LV"/>
      <w14:ligatures w14:val="none"/>
    </w:rPr>
  </w:style>
  <w:style w:type="character" w:customStyle="1" w:styleId="Heading9Char">
    <w:name w:val="Heading 9 Char"/>
    <w:basedOn w:val="DefaultParagraphFont"/>
    <w:link w:val="Heading9"/>
    <w:uiPriority w:val="9"/>
    <w:rsid w:val="00B80382"/>
    <w:rPr>
      <w:rFonts w:asciiTheme="majorHAnsi" w:eastAsiaTheme="majorEastAsia" w:hAnsiTheme="majorHAnsi" w:cstheme="majorBidi"/>
      <w:i/>
      <w:iCs/>
      <w:color w:val="272727"/>
      <w:kern w:val="0"/>
      <w:sz w:val="21"/>
      <w:szCs w:val="21"/>
      <w:lang w:val="lv-LV"/>
      <w14:ligatures w14:val="none"/>
    </w:rPr>
  </w:style>
  <w:style w:type="paragraph" w:styleId="Header">
    <w:name w:val="header"/>
    <w:basedOn w:val="Normal"/>
    <w:link w:val="HeaderChar"/>
    <w:uiPriority w:val="99"/>
    <w:unhideWhenUsed/>
    <w:rsid w:val="00B80382"/>
    <w:pPr>
      <w:tabs>
        <w:tab w:val="center" w:pos="4680"/>
        <w:tab w:val="right" w:pos="9360"/>
      </w:tabs>
    </w:pPr>
  </w:style>
  <w:style w:type="character" w:customStyle="1" w:styleId="HeaderChar">
    <w:name w:val="Header Char"/>
    <w:basedOn w:val="DefaultParagraphFont"/>
    <w:link w:val="Header"/>
    <w:uiPriority w:val="99"/>
    <w:rsid w:val="00B80382"/>
    <w:rPr>
      <w:rFonts w:cs="Calibri"/>
      <w:kern w:val="0"/>
      <w:sz w:val="24"/>
      <w:szCs w:val="24"/>
      <w:lang w:val="lv-LV"/>
      <w14:ligatures w14:val="none"/>
    </w:rPr>
  </w:style>
  <w:style w:type="paragraph" w:styleId="Footer">
    <w:name w:val="footer"/>
    <w:basedOn w:val="Normal"/>
    <w:link w:val="FooterChar"/>
    <w:uiPriority w:val="99"/>
    <w:unhideWhenUsed/>
    <w:rsid w:val="00B80382"/>
    <w:pPr>
      <w:tabs>
        <w:tab w:val="center" w:pos="4680"/>
        <w:tab w:val="right" w:pos="9360"/>
      </w:tabs>
    </w:pPr>
  </w:style>
  <w:style w:type="character" w:customStyle="1" w:styleId="FooterChar">
    <w:name w:val="Footer Char"/>
    <w:basedOn w:val="DefaultParagraphFont"/>
    <w:link w:val="Footer"/>
    <w:uiPriority w:val="99"/>
    <w:rsid w:val="00B80382"/>
    <w:rPr>
      <w:rFonts w:cs="Calibri"/>
      <w:kern w:val="0"/>
      <w:sz w:val="24"/>
      <w:szCs w:val="24"/>
      <w:lang w:val="lv-LV"/>
      <w14:ligatures w14:val="none"/>
    </w:rPr>
  </w:style>
  <w:style w:type="paragraph" w:styleId="TOCHeading">
    <w:name w:val="TOC Heading"/>
    <w:basedOn w:val="Heading1"/>
    <w:next w:val="Normal"/>
    <w:uiPriority w:val="39"/>
    <w:unhideWhenUsed/>
    <w:qFormat/>
    <w:rsid w:val="00B80382"/>
  </w:style>
  <w:style w:type="paragraph" w:styleId="TOC1">
    <w:name w:val="toc 1"/>
    <w:basedOn w:val="Normal"/>
    <w:next w:val="Normal"/>
    <w:uiPriority w:val="39"/>
    <w:unhideWhenUsed/>
    <w:rsid w:val="00B80382"/>
    <w:pPr>
      <w:spacing w:after="100"/>
    </w:pPr>
  </w:style>
  <w:style w:type="paragraph" w:styleId="TOC2">
    <w:name w:val="toc 2"/>
    <w:basedOn w:val="Normal"/>
    <w:next w:val="Normal"/>
    <w:uiPriority w:val="39"/>
    <w:unhideWhenUsed/>
    <w:rsid w:val="00B80382"/>
    <w:pPr>
      <w:spacing w:after="100"/>
      <w:ind w:left="220"/>
    </w:pPr>
  </w:style>
  <w:style w:type="paragraph" w:styleId="TOC3">
    <w:name w:val="toc 3"/>
    <w:basedOn w:val="Normal"/>
    <w:next w:val="Normal"/>
    <w:uiPriority w:val="39"/>
    <w:unhideWhenUsed/>
    <w:rsid w:val="00B80382"/>
    <w:pPr>
      <w:spacing w:after="100"/>
      <w:ind w:left="440"/>
    </w:pPr>
  </w:style>
  <w:style w:type="character" w:styleId="Hyperlink">
    <w:name w:val="Hyperlink"/>
    <w:basedOn w:val="DefaultParagraphFont"/>
    <w:uiPriority w:val="99"/>
    <w:unhideWhenUsed/>
    <w:rsid w:val="00B80382"/>
    <w:rPr>
      <w:color w:val="0563C1" w:themeColor="hyperlink"/>
      <w:u w:val="single"/>
    </w:rPr>
  </w:style>
  <w:style w:type="table" w:styleId="TableGrid">
    <w:name w:val="Table Grid"/>
    <w:basedOn w:val="TableNormal"/>
    <w:uiPriority w:val="59"/>
    <w:qFormat/>
    <w:rsid w:val="00B80382"/>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pointi,2,Tabulu virsraksts,Strip,LP1.,H&amp;P List Paragraph,Colorful List - Accent 12,Akapit z listą BS,References,Punkti ar numuriem"/>
    <w:basedOn w:val="Normal"/>
    <w:link w:val="ListParagraphChar"/>
    <w:uiPriority w:val="34"/>
    <w:qFormat/>
    <w:rsid w:val="00B80382"/>
    <w:pPr>
      <w:ind w:left="720"/>
      <w:contextualSpacing/>
    </w:pPr>
    <w:rPr>
      <w:rFonts w:ascii="Arial" w:hAnsi="Arial"/>
      <w:sz w:val="18"/>
    </w:rPr>
  </w:style>
  <w:style w:type="paragraph" w:customStyle="1" w:styleId="Tabletitle">
    <w:name w:val="Table title"/>
    <w:basedOn w:val="Normal"/>
    <w:uiPriority w:val="1"/>
    <w:qFormat/>
    <w:rsid w:val="00B80382"/>
    <w:pPr>
      <w:spacing w:before="120" w:after="120"/>
    </w:pPr>
    <w:rPr>
      <w:rFonts w:ascii="Arial" w:hAnsi="Arial"/>
      <w:color w:val="FFFFFF" w:themeColor="background1"/>
      <w:sz w:val="18"/>
      <w:szCs w:val="18"/>
    </w:rPr>
  </w:style>
  <w:style w:type="paragraph" w:customStyle="1" w:styleId="tabuluteksts">
    <w:name w:val="tabulu teksts"/>
    <w:basedOn w:val="Normal"/>
    <w:link w:val="tabulutekstsChar"/>
    <w:uiPriority w:val="1"/>
    <w:qFormat/>
    <w:rsid w:val="00B80382"/>
    <w:pPr>
      <w:spacing w:before="40" w:after="40"/>
    </w:pPr>
    <w:rPr>
      <w:rFonts w:ascii="Arial" w:hAnsi="Arial"/>
      <w:sz w:val="18"/>
      <w:szCs w:val="18"/>
    </w:rPr>
  </w:style>
  <w:style w:type="character" w:customStyle="1" w:styleId="tabulutekstsChar">
    <w:name w:val="tabulu teksts Char"/>
    <w:basedOn w:val="DefaultParagraphFont"/>
    <w:link w:val="tabuluteksts"/>
    <w:uiPriority w:val="1"/>
    <w:rsid w:val="00B80382"/>
    <w:rPr>
      <w:rFonts w:ascii="Arial" w:hAnsi="Arial" w:cs="Calibri"/>
      <w:kern w:val="0"/>
      <w:sz w:val="18"/>
      <w:szCs w:val="18"/>
      <w:lang w:val="lv-LV"/>
      <w14:ligatures w14:val="none"/>
    </w:rPr>
  </w:style>
  <w:style w:type="character" w:customStyle="1" w:styleId="ListParagraphChar">
    <w:name w:val="List Paragraph Char"/>
    <w:aliases w:val="Bulletpointi Char,2 Char,Tabulu virsraksts Char,Strip Char,LP1. Char,H&amp;P List Paragraph Char,Colorful List - Accent 12 Char,Akapit z listą BS Char,References Char,Punkti ar numuriem Char"/>
    <w:link w:val="ListParagraph"/>
    <w:uiPriority w:val="34"/>
    <w:qFormat/>
    <w:rsid w:val="00B80382"/>
    <w:rPr>
      <w:rFonts w:ascii="Arial" w:hAnsi="Arial" w:cs="Calibri"/>
      <w:kern w:val="0"/>
      <w:sz w:val="18"/>
      <w:szCs w:val="24"/>
      <w:lang w:val="lv-LV"/>
      <w14:ligatures w14:val="none"/>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single spa"/>
    <w:basedOn w:val="Normal"/>
    <w:link w:val="FootnoteTextChar"/>
    <w:uiPriority w:val="99"/>
    <w:unhideWhenUsed/>
    <w:rsid w:val="00B80382"/>
    <w:rPr>
      <w:rFonts w:cs="Times New Roman"/>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single spa Char"/>
    <w:basedOn w:val="DefaultParagraphFont"/>
    <w:link w:val="FootnoteText"/>
    <w:uiPriority w:val="99"/>
    <w:rsid w:val="00B80382"/>
    <w:rPr>
      <w:rFonts w:cs="Times New Roman"/>
      <w:kern w:val="0"/>
      <w:sz w:val="20"/>
      <w:szCs w:val="20"/>
      <w:lang w:val="lv-LV"/>
      <w14:ligatures w14:val="none"/>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uiPriority w:val="99"/>
    <w:unhideWhenUsed/>
    <w:rsid w:val="00B80382"/>
    <w:rPr>
      <w:rFonts w:cs="Calibri"/>
      <w:sz w:val="24"/>
      <w:szCs w:val="24"/>
      <w:vertAlign w:val="superscript"/>
      <w:lang w:val="lv-LV"/>
    </w:rPr>
  </w:style>
  <w:style w:type="paragraph" w:customStyle="1" w:styleId="CharCharCharChar">
    <w:name w:val="Char Char Char Char"/>
    <w:basedOn w:val="Normal"/>
    <w:next w:val="Normal"/>
    <w:link w:val="FootnoteReference"/>
    <w:uiPriority w:val="99"/>
    <w:rsid w:val="00B80382"/>
    <w:rPr>
      <w:kern w:val="2"/>
      <w:vertAlign w:val="superscript"/>
      <w14:ligatures w14:val="standardContextual"/>
    </w:rPr>
  </w:style>
  <w:style w:type="paragraph" w:customStyle="1" w:styleId="tvhtml">
    <w:name w:val="tv_html"/>
    <w:basedOn w:val="Normal"/>
    <w:uiPriority w:val="1"/>
    <w:rsid w:val="00B80382"/>
    <w:pPr>
      <w:spacing w:beforeAutospacing="1" w:afterAutospacing="1"/>
    </w:pPr>
    <w:rPr>
      <w:rFonts w:ascii="Times New Roman" w:eastAsia="Times New Roman" w:hAnsi="Times New Roman" w:cs="Times New Roman"/>
      <w:lang w:eastAsia="lv-LV"/>
    </w:rPr>
  </w:style>
  <w:style w:type="character" w:customStyle="1" w:styleId="UnresolvedMention1">
    <w:name w:val="Unresolved Mention1"/>
    <w:basedOn w:val="DefaultParagraphFont"/>
    <w:uiPriority w:val="99"/>
    <w:semiHidden/>
    <w:unhideWhenUsed/>
    <w:rsid w:val="00B80382"/>
    <w:rPr>
      <w:color w:val="605E5C"/>
      <w:shd w:val="clear" w:color="auto" w:fill="E1DFDD"/>
    </w:rPr>
  </w:style>
  <w:style w:type="character" w:styleId="CommentReference">
    <w:name w:val="annotation reference"/>
    <w:basedOn w:val="DefaultParagraphFont"/>
    <w:uiPriority w:val="99"/>
    <w:semiHidden/>
    <w:unhideWhenUsed/>
    <w:rsid w:val="00B80382"/>
    <w:rPr>
      <w:sz w:val="16"/>
      <w:szCs w:val="16"/>
    </w:rPr>
  </w:style>
  <w:style w:type="paragraph" w:styleId="CommentText">
    <w:name w:val="annotation text"/>
    <w:basedOn w:val="Normal"/>
    <w:link w:val="CommentTextChar"/>
    <w:uiPriority w:val="99"/>
    <w:unhideWhenUsed/>
    <w:rsid w:val="00B80382"/>
    <w:rPr>
      <w:sz w:val="20"/>
      <w:szCs w:val="20"/>
    </w:rPr>
  </w:style>
  <w:style w:type="character" w:customStyle="1" w:styleId="CommentTextChar">
    <w:name w:val="Comment Text Char"/>
    <w:basedOn w:val="DefaultParagraphFont"/>
    <w:link w:val="CommentText"/>
    <w:uiPriority w:val="99"/>
    <w:rsid w:val="00B80382"/>
    <w:rPr>
      <w:rFonts w:cs="Calibri"/>
      <w:kern w:val="0"/>
      <w:sz w:val="20"/>
      <w:szCs w:val="20"/>
      <w:lang w:val="lv-LV"/>
      <w14:ligatures w14:val="none"/>
    </w:rPr>
  </w:style>
  <w:style w:type="paragraph" w:styleId="CommentSubject">
    <w:name w:val="annotation subject"/>
    <w:basedOn w:val="CommentText"/>
    <w:next w:val="CommentText"/>
    <w:link w:val="CommentSubjectChar"/>
    <w:uiPriority w:val="99"/>
    <w:semiHidden/>
    <w:unhideWhenUsed/>
    <w:rsid w:val="00B80382"/>
    <w:rPr>
      <w:b/>
      <w:bCs/>
    </w:rPr>
  </w:style>
  <w:style w:type="character" w:customStyle="1" w:styleId="CommentSubjectChar">
    <w:name w:val="Comment Subject Char"/>
    <w:basedOn w:val="CommentTextChar"/>
    <w:link w:val="CommentSubject"/>
    <w:uiPriority w:val="99"/>
    <w:semiHidden/>
    <w:rsid w:val="00B80382"/>
    <w:rPr>
      <w:rFonts w:cs="Calibri"/>
      <w:b/>
      <w:bCs/>
      <w:kern w:val="0"/>
      <w:sz w:val="20"/>
      <w:szCs w:val="20"/>
      <w:lang w:val="lv-LV"/>
      <w14:ligatures w14:val="none"/>
    </w:rPr>
  </w:style>
  <w:style w:type="paragraph" w:styleId="BalloonText">
    <w:name w:val="Balloon Text"/>
    <w:basedOn w:val="Normal"/>
    <w:link w:val="BalloonTextChar"/>
    <w:uiPriority w:val="99"/>
    <w:semiHidden/>
    <w:unhideWhenUsed/>
    <w:rsid w:val="00B803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0382"/>
    <w:rPr>
      <w:rFonts w:ascii="Segoe UI" w:hAnsi="Segoe UI" w:cs="Segoe UI"/>
      <w:kern w:val="0"/>
      <w:sz w:val="18"/>
      <w:szCs w:val="18"/>
      <w:lang w:val="lv-LV"/>
      <w14:ligatures w14:val="none"/>
    </w:rPr>
  </w:style>
  <w:style w:type="character" w:styleId="FollowedHyperlink">
    <w:name w:val="FollowedHyperlink"/>
    <w:basedOn w:val="DefaultParagraphFont"/>
    <w:uiPriority w:val="99"/>
    <w:semiHidden/>
    <w:unhideWhenUsed/>
    <w:rsid w:val="00B80382"/>
    <w:rPr>
      <w:color w:val="954F72" w:themeColor="followedHyperlink"/>
      <w:u w:val="single"/>
    </w:rPr>
  </w:style>
  <w:style w:type="character" w:customStyle="1" w:styleId="UnresolvedMention2">
    <w:name w:val="Unresolved Mention2"/>
    <w:basedOn w:val="DefaultParagraphFont"/>
    <w:uiPriority w:val="99"/>
    <w:semiHidden/>
    <w:unhideWhenUsed/>
    <w:rsid w:val="00B80382"/>
    <w:rPr>
      <w:color w:val="605E5C"/>
      <w:shd w:val="clear" w:color="auto" w:fill="E1DFDD"/>
    </w:rPr>
  </w:style>
  <w:style w:type="paragraph" w:styleId="Revision">
    <w:name w:val="Revision"/>
    <w:hidden/>
    <w:uiPriority w:val="99"/>
    <w:semiHidden/>
    <w:rsid w:val="00B80382"/>
    <w:pPr>
      <w:spacing w:after="0" w:line="240" w:lineRule="auto"/>
    </w:pPr>
    <w:rPr>
      <w:kern w:val="0"/>
      <w14:ligatures w14:val="none"/>
    </w:rPr>
  </w:style>
  <w:style w:type="character" w:customStyle="1" w:styleId="UnresolvedMention3">
    <w:name w:val="Unresolved Mention3"/>
    <w:basedOn w:val="DefaultParagraphFont"/>
    <w:uiPriority w:val="99"/>
    <w:semiHidden/>
    <w:unhideWhenUsed/>
    <w:rsid w:val="00B80382"/>
    <w:rPr>
      <w:color w:val="605E5C"/>
      <w:shd w:val="clear" w:color="auto" w:fill="E1DFDD"/>
    </w:rPr>
  </w:style>
  <w:style w:type="paragraph" w:styleId="Bibliography">
    <w:name w:val="Bibliography"/>
    <w:basedOn w:val="Normal"/>
    <w:next w:val="Normal"/>
    <w:uiPriority w:val="37"/>
    <w:unhideWhenUsed/>
    <w:rsid w:val="00B80382"/>
    <w:pPr>
      <w:ind w:left="720" w:hanging="720"/>
    </w:pPr>
  </w:style>
  <w:style w:type="paragraph" w:styleId="Title">
    <w:name w:val="Title"/>
    <w:basedOn w:val="Normal"/>
    <w:next w:val="Normal"/>
    <w:link w:val="TitleChar"/>
    <w:uiPriority w:val="10"/>
    <w:qFormat/>
    <w:rsid w:val="00B80382"/>
    <w:pPr>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B80382"/>
    <w:rPr>
      <w:rFonts w:asciiTheme="majorHAnsi" w:eastAsiaTheme="majorEastAsia" w:hAnsiTheme="majorHAnsi" w:cstheme="majorBidi"/>
      <w:kern w:val="0"/>
      <w:sz w:val="56"/>
      <w:szCs w:val="56"/>
      <w:lang w:val="lv-LV"/>
      <w14:ligatures w14:val="none"/>
    </w:rPr>
  </w:style>
  <w:style w:type="paragraph" w:styleId="Subtitle">
    <w:name w:val="Subtitle"/>
    <w:basedOn w:val="Normal"/>
    <w:next w:val="Normal"/>
    <w:link w:val="SubtitleChar"/>
    <w:uiPriority w:val="11"/>
    <w:qFormat/>
    <w:rsid w:val="00B80382"/>
    <w:rPr>
      <w:rFonts w:eastAsiaTheme="minorEastAsia"/>
      <w:color w:val="5A5A5A"/>
    </w:rPr>
  </w:style>
  <w:style w:type="character" w:customStyle="1" w:styleId="SubtitleChar">
    <w:name w:val="Subtitle Char"/>
    <w:basedOn w:val="DefaultParagraphFont"/>
    <w:link w:val="Subtitle"/>
    <w:uiPriority w:val="11"/>
    <w:rsid w:val="00B80382"/>
    <w:rPr>
      <w:rFonts w:eastAsiaTheme="minorEastAsia" w:cs="Calibri"/>
      <w:color w:val="5A5A5A"/>
      <w:kern w:val="0"/>
      <w:sz w:val="24"/>
      <w:szCs w:val="24"/>
      <w:lang w:val="lv-LV"/>
      <w14:ligatures w14:val="none"/>
    </w:rPr>
  </w:style>
  <w:style w:type="paragraph" w:styleId="Quote">
    <w:name w:val="Quote"/>
    <w:basedOn w:val="Normal"/>
    <w:next w:val="Normal"/>
    <w:link w:val="QuoteChar"/>
    <w:uiPriority w:val="29"/>
    <w:qFormat/>
    <w:rsid w:val="00B8038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B80382"/>
    <w:rPr>
      <w:rFonts w:cs="Calibri"/>
      <w:i/>
      <w:iCs/>
      <w:color w:val="404040" w:themeColor="text1" w:themeTint="BF"/>
      <w:kern w:val="0"/>
      <w:sz w:val="24"/>
      <w:szCs w:val="24"/>
      <w:lang w:val="lv-LV"/>
      <w14:ligatures w14:val="none"/>
    </w:rPr>
  </w:style>
  <w:style w:type="paragraph" w:styleId="IntenseQuote">
    <w:name w:val="Intense Quote"/>
    <w:basedOn w:val="Normal"/>
    <w:next w:val="Normal"/>
    <w:link w:val="IntenseQuoteChar"/>
    <w:uiPriority w:val="30"/>
    <w:qFormat/>
    <w:rsid w:val="00B80382"/>
    <w:pP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B80382"/>
    <w:rPr>
      <w:rFonts w:cs="Calibri"/>
      <w:i/>
      <w:iCs/>
      <w:color w:val="4472C4" w:themeColor="accent1"/>
      <w:kern w:val="0"/>
      <w:sz w:val="24"/>
      <w:szCs w:val="24"/>
      <w:lang w:val="lv-LV"/>
      <w14:ligatures w14:val="none"/>
    </w:rPr>
  </w:style>
  <w:style w:type="paragraph" w:styleId="TOC4">
    <w:name w:val="toc 4"/>
    <w:basedOn w:val="Normal"/>
    <w:next w:val="Normal"/>
    <w:uiPriority w:val="39"/>
    <w:unhideWhenUsed/>
    <w:rsid w:val="00B80382"/>
    <w:pPr>
      <w:spacing w:after="100"/>
      <w:ind w:left="660"/>
    </w:pPr>
  </w:style>
  <w:style w:type="paragraph" w:styleId="TOC5">
    <w:name w:val="toc 5"/>
    <w:basedOn w:val="Normal"/>
    <w:next w:val="Normal"/>
    <w:uiPriority w:val="39"/>
    <w:unhideWhenUsed/>
    <w:rsid w:val="00B80382"/>
    <w:pPr>
      <w:spacing w:after="100"/>
      <w:ind w:left="880"/>
    </w:pPr>
  </w:style>
  <w:style w:type="paragraph" w:styleId="TOC6">
    <w:name w:val="toc 6"/>
    <w:basedOn w:val="Normal"/>
    <w:next w:val="Normal"/>
    <w:uiPriority w:val="39"/>
    <w:unhideWhenUsed/>
    <w:rsid w:val="00B80382"/>
    <w:pPr>
      <w:spacing w:after="100"/>
      <w:ind w:left="1100"/>
    </w:pPr>
  </w:style>
  <w:style w:type="paragraph" w:styleId="TOC7">
    <w:name w:val="toc 7"/>
    <w:basedOn w:val="Normal"/>
    <w:next w:val="Normal"/>
    <w:uiPriority w:val="39"/>
    <w:unhideWhenUsed/>
    <w:rsid w:val="00B80382"/>
    <w:pPr>
      <w:spacing w:after="100"/>
      <w:ind w:left="1320"/>
    </w:pPr>
  </w:style>
  <w:style w:type="paragraph" w:styleId="TOC8">
    <w:name w:val="toc 8"/>
    <w:basedOn w:val="Normal"/>
    <w:next w:val="Normal"/>
    <w:uiPriority w:val="39"/>
    <w:unhideWhenUsed/>
    <w:rsid w:val="00B80382"/>
    <w:pPr>
      <w:spacing w:after="100"/>
      <w:ind w:left="1540"/>
    </w:pPr>
  </w:style>
  <w:style w:type="paragraph" w:styleId="TOC9">
    <w:name w:val="toc 9"/>
    <w:basedOn w:val="Normal"/>
    <w:next w:val="Normal"/>
    <w:uiPriority w:val="39"/>
    <w:unhideWhenUsed/>
    <w:rsid w:val="00B80382"/>
    <w:pPr>
      <w:spacing w:after="100"/>
      <w:ind w:left="1760"/>
    </w:pPr>
  </w:style>
  <w:style w:type="paragraph" w:styleId="EndnoteText">
    <w:name w:val="endnote text"/>
    <w:basedOn w:val="Normal"/>
    <w:link w:val="EndnoteTextChar"/>
    <w:uiPriority w:val="99"/>
    <w:semiHidden/>
    <w:unhideWhenUsed/>
    <w:rsid w:val="00B80382"/>
    <w:rPr>
      <w:sz w:val="20"/>
      <w:szCs w:val="20"/>
    </w:rPr>
  </w:style>
  <w:style w:type="character" w:customStyle="1" w:styleId="EndnoteTextChar">
    <w:name w:val="Endnote Text Char"/>
    <w:basedOn w:val="DefaultParagraphFont"/>
    <w:link w:val="EndnoteText"/>
    <w:uiPriority w:val="99"/>
    <w:semiHidden/>
    <w:rsid w:val="00B80382"/>
    <w:rPr>
      <w:rFonts w:cs="Calibri"/>
      <w:kern w:val="0"/>
      <w:sz w:val="20"/>
      <w:szCs w:val="20"/>
      <w:lang w:val="lv-LV"/>
      <w14:ligatures w14:val="none"/>
    </w:rPr>
  </w:style>
  <w:style w:type="character" w:customStyle="1" w:styleId="UnresolvedMention4">
    <w:name w:val="Unresolved Mention4"/>
    <w:basedOn w:val="DefaultParagraphFont"/>
    <w:uiPriority w:val="99"/>
    <w:semiHidden/>
    <w:unhideWhenUsed/>
    <w:rsid w:val="00B80382"/>
    <w:rPr>
      <w:color w:val="605E5C"/>
      <w:shd w:val="clear" w:color="auto" w:fill="E1DFDD"/>
    </w:rPr>
  </w:style>
  <w:style w:type="character" w:customStyle="1" w:styleId="UnresolvedMention5">
    <w:name w:val="Unresolved Mention5"/>
    <w:basedOn w:val="DefaultParagraphFont"/>
    <w:uiPriority w:val="99"/>
    <w:semiHidden/>
    <w:unhideWhenUsed/>
    <w:rsid w:val="00B80382"/>
    <w:rPr>
      <w:color w:val="605E5C"/>
      <w:shd w:val="clear" w:color="auto" w:fill="E1DFDD"/>
    </w:rPr>
  </w:style>
  <w:style w:type="character" w:styleId="EndnoteReference">
    <w:name w:val="endnote reference"/>
    <w:basedOn w:val="DefaultParagraphFont"/>
    <w:uiPriority w:val="99"/>
    <w:semiHidden/>
    <w:unhideWhenUsed/>
    <w:rsid w:val="00B80382"/>
    <w:rPr>
      <w:vertAlign w:val="superscript"/>
    </w:rPr>
  </w:style>
  <w:style w:type="character" w:customStyle="1" w:styleId="UnresolvedMention6">
    <w:name w:val="Unresolved Mention6"/>
    <w:basedOn w:val="DefaultParagraphFont"/>
    <w:uiPriority w:val="99"/>
    <w:semiHidden/>
    <w:unhideWhenUsed/>
    <w:rsid w:val="00B80382"/>
    <w:rPr>
      <w:color w:val="605E5C"/>
      <w:shd w:val="clear" w:color="auto" w:fill="E1DFDD"/>
    </w:rPr>
  </w:style>
  <w:style w:type="paragraph" w:styleId="NormalWeb">
    <w:name w:val="Normal (Web)"/>
    <w:basedOn w:val="Normal"/>
    <w:uiPriority w:val="99"/>
    <w:semiHidden/>
    <w:unhideWhenUsed/>
    <w:rsid w:val="00B80382"/>
    <w:pPr>
      <w:spacing w:before="100" w:beforeAutospacing="1" w:after="100" w:afterAutospacing="1" w:line="240" w:lineRule="auto"/>
      <w:ind w:firstLine="0"/>
      <w:jc w:val="left"/>
    </w:pPr>
    <w:rPr>
      <w:rFonts w:ascii="Times New Roman" w:eastAsiaTheme="minorEastAsia" w:hAnsi="Times New Roman" w:cs="Times New Roman"/>
      <w:lang w:val="en-GB" w:eastAsia="en-GB"/>
    </w:rPr>
  </w:style>
  <w:style w:type="character" w:styleId="UnresolvedMention">
    <w:name w:val="Unresolved Mention"/>
    <w:basedOn w:val="DefaultParagraphFont"/>
    <w:uiPriority w:val="99"/>
    <w:semiHidden/>
    <w:unhideWhenUsed/>
    <w:rsid w:val="008C2355"/>
    <w:rPr>
      <w:color w:val="605E5C"/>
      <w:shd w:val="clear" w:color="auto" w:fill="E1DFDD"/>
    </w:rPr>
  </w:style>
  <w:style w:type="paragraph" w:styleId="Caption">
    <w:name w:val="caption"/>
    <w:basedOn w:val="Normal"/>
    <w:next w:val="Normal"/>
    <w:uiPriority w:val="35"/>
    <w:unhideWhenUsed/>
    <w:qFormat/>
    <w:rsid w:val="00DF7542"/>
    <w:pPr>
      <w:spacing w:after="200" w:line="240" w:lineRule="auto"/>
    </w:pPr>
    <w:rPr>
      <w:i/>
      <w:iCs/>
      <w:color w:val="44546A" w:themeColor="text2"/>
      <w:sz w:val="18"/>
      <w:szCs w:val="18"/>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629724">
      <w:bodyDiv w:val="1"/>
      <w:marLeft w:val="0"/>
      <w:marRight w:val="0"/>
      <w:marTop w:val="0"/>
      <w:marBottom w:val="0"/>
      <w:divBdr>
        <w:top w:val="none" w:sz="0" w:space="0" w:color="auto"/>
        <w:left w:val="none" w:sz="0" w:space="0" w:color="auto"/>
        <w:bottom w:val="none" w:sz="0" w:space="0" w:color="auto"/>
        <w:right w:val="none" w:sz="0" w:space="0" w:color="auto"/>
      </w:divBdr>
    </w:div>
    <w:div w:id="287048355">
      <w:bodyDiv w:val="1"/>
      <w:marLeft w:val="0"/>
      <w:marRight w:val="0"/>
      <w:marTop w:val="0"/>
      <w:marBottom w:val="0"/>
      <w:divBdr>
        <w:top w:val="none" w:sz="0" w:space="0" w:color="auto"/>
        <w:left w:val="none" w:sz="0" w:space="0" w:color="auto"/>
        <w:bottom w:val="none" w:sz="0" w:space="0" w:color="auto"/>
        <w:right w:val="none" w:sz="0" w:space="0" w:color="auto"/>
      </w:divBdr>
    </w:div>
    <w:div w:id="365063075">
      <w:bodyDiv w:val="1"/>
      <w:marLeft w:val="0"/>
      <w:marRight w:val="0"/>
      <w:marTop w:val="0"/>
      <w:marBottom w:val="0"/>
      <w:divBdr>
        <w:top w:val="none" w:sz="0" w:space="0" w:color="auto"/>
        <w:left w:val="none" w:sz="0" w:space="0" w:color="auto"/>
        <w:bottom w:val="none" w:sz="0" w:space="0" w:color="auto"/>
        <w:right w:val="none" w:sz="0" w:space="0" w:color="auto"/>
      </w:divBdr>
    </w:div>
    <w:div w:id="666135349">
      <w:bodyDiv w:val="1"/>
      <w:marLeft w:val="0"/>
      <w:marRight w:val="0"/>
      <w:marTop w:val="0"/>
      <w:marBottom w:val="0"/>
      <w:divBdr>
        <w:top w:val="none" w:sz="0" w:space="0" w:color="auto"/>
        <w:left w:val="none" w:sz="0" w:space="0" w:color="auto"/>
        <w:bottom w:val="none" w:sz="0" w:space="0" w:color="auto"/>
        <w:right w:val="none" w:sz="0" w:space="0" w:color="auto"/>
      </w:divBdr>
    </w:div>
    <w:div w:id="825514839">
      <w:bodyDiv w:val="1"/>
      <w:marLeft w:val="0"/>
      <w:marRight w:val="0"/>
      <w:marTop w:val="0"/>
      <w:marBottom w:val="0"/>
      <w:divBdr>
        <w:top w:val="none" w:sz="0" w:space="0" w:color="auto"/>
        <w:left w:val="none" w:sz="0" w:space="0" w:color="auto"/>
        <w:bottom w:val="none" w:sz="0" w:space="0" w:color="auto"/>
        <w:right w:val="none" w:sz="0" w:space="0" w:color="auto"/>
      </w:divBdr>
    </w:div>
    <w:div w:id="872809170">
      <w:bodyDiv w:val="1"/>
      <w:marLeft w:val="0"/>
      <w:marRight w:val="0"/>
      <w:marTop w:val="0"/>
      <w:marBottom w:val="0"/>
      <w:divBdr>
        <w:top w:val="none" w:sz="0" w:space="0" w:color="auto"/>
        <w:left w:val="none" w:sz="0" w:space="0" w:color="auto"/>
        <w:bottom w:val="none" w:sz="0" w:space="0" w:color="auto"/>
        <w:right w:val="none" w:sz="0" w:space="0" w:color="auto"/>
      </w:divBdr>
    </w:div>
    <w:div w:id="933435590">
      <w:bodyDiv w:val="1"/>
      <w:marLeft w:val="0"/>
      <w:marRight w:val="0"/>
      <w:marTop w:val="0"/>
      <w:marBottom w:val="0"/>
      <w:divBdr>
        <w:top w:val="none" w:sz="0" w:space="0" w:color="auto"/>
        <w:left w:val="none" w:sz="0" w:space="0" w:color="auto"/>
        <w:bottom w:val="none" w:sz="0" w:space="0" w:color="auto"/>
        <w:right w:val="none" w:sz="0" w:space="0" w:color="auto"/>
      </w:divBdr>
    </w:div>
    <w:div w:id="1134638682">
      <w:bodyDiv w:val="1"/>
      <w:marLeft w:val="0"/>
      <w:marRight w:val="0"/>
      <w:marTop w:val="0"/>
      <w:marBottom w:val="0"/>
      <w:divBdr>
        <w:top w:val="none" w:sz="0" w:space="0" w:color="auto"/>
        <w:left w:val="none" w:sz="0" w:space="0" w:color="auto"/>
        <w:bottom w:val="none" w:sz="0" w:space="0" w:color="auto"/>
        <w:right w:val="none" w:sz="0" w:space="0" w:color="auto"/>
      </w:divBdr>
    </w:div>
    <w:div w:id="1507937100">
      <w:bodyDiv w:val="1"/>
      <w:marLeft w:val="0"/>
      <w:marRight w:val="0"/>
      <w:marTop w:val="0"/>
      <w:marBottom w:val="0"/>
      <w:divBdr>
        <w:top w:val="none" w:sz="0" w:space="0" w:color="auto"/>
        <w:left w:val="none" w:sz="0" w:space="0" w:color="auto"/>
        <w:bottom w:val="none" w:sz="0" w:space="0" w:color="auto"/>
        <w:right w:val="none" w:sz="0" w:space="0" w:color="auto"/>
      </w:divBdr>
    </w:div>
    <w:div w:id="1548253684">
      <w:bodyDiv w:val="1"/>
      <w:marLeft w:val="0"/>
      <w:marRight w:val="0"/>
      <w:marTop w:val="0"/>
      <w:marBottom w:val="0"/>
      <w:divBdr>
        <w:top w:val="none" w:sz="0" w:space="0" w:color="auto"/>
        <w:left w:val="none" w:sz="0" w:space="0" w:color="auto"/>
        <w:bottom w:val="none" w:sz="0" w:space="0" w:color="auto"/>
        <w:right w:val="none" w:sz="0" w:space="0" w:color="auto"/>
      </w:divBdr>
    </w:div>
    <w:div w:id="1584414112">
      <w:bodyDiv w:val="1"/>
      <w:marLeft w:val="0"/>
      <w:marRight w:val="0"/>
      <w:marTop w:val="0"/>
      <w:marBottom w:val="0"/>
      <w:divBdr>
        <w:top w:val="none" w:sz="0" w:space="0" w:color="auto"/>
        <w:left w:val="none" w:sz="0" w:space="0" w:color="auto"/>
        <w:bottom w:val="none" w:sz="0" w:space="0" w:color="auto"/>
        <w:right w:val="none" w:sz="0" w:space="0" w:color="auto"/>
      </w:divBdr>
    </w:div>
    <w:div w:id="1660383784">
      <w:bodyDiv w:val="1"/>
      <w:marLeft w:val="0"/>
      <w:marRight w:val="0"/>
      <w:marTop w:val="0"/>
      <w:marBottom w:val="0"/>
      <w:divBdr>
        <w:top w:val="none" w:sz="0" w:space="0" w:color="auto"/>
        <w:left w:val="none" w:sz="0" w:space="0" w:color="auto"/>
        <w:bottom w:val="none" w:sz="0" w:space="0" w:color="auto"/>
        <w:right w:val="none" w:sz="0" w:space="0" w:color="auto"/>
      </w:divBdr>
    </w:div>
    <w:div w:id="1757052728">
      <w:bodyDiv w:val="1"/>
      <w:marLeft w:val="0"/>
      <w:marRight w:val="0"/>
      <w:marTop w:val="0"/>
      <w:marBottom w:val="0"/>
      <w:divBdr>
        <w:top w:val="none" w:sz="0" w:space="0" w:color="auto"/>
        <w:left w:val="none" w:sz="0" w:space="0" w:color="auto"/>
        <w:bottom w:val="none" w:sz="0" w:space="0" w:color="auto"/>
        <w:right w:val="none" w:sz="0" w:space="0" w:color="auto"/>
      </w:divBdr>
    </w:div>
    <w:div w:id="1820609314">
      <w:bodyDiv w:val="1"/>
      <w:marLeft w:val="0"/>
      <w:marRight w:val="0"/>
      <w:marTop w:val="0"/>
      <w:marBottom w:val="0"/>
      <w:divBdr>
        <w:top w:val="none" w:sz="0" w:space="0" w:color="auto"/>
        <w:left w:val="none" w:sz="0" w:space="0" w:color="auto"/>
        <w:bottom w:val="none" w:sz="0" w:space="0" w:color="auto"/>
        <w:right w:val="none" w:sz="0" w:space="0" w:color="auto"/>
      </w:divBdr>
    </w:div>
    <w:div w:id="1873105025">
      <w:bodyDiv w:val="1"/>
      <w:marLeft w:val="0"/>
      <w:marRight w:val="0"/>
      <w:marTop w:val="0"/>
      <w:marBottom w:val="0"/>
      <w:divBdr>
        <w:top w:val="none" w:sz="0" w:space="0" w:color="auto"/>
        <w:left w:val="none" w:sz="0" w:space="0" w:color="auto"/>
        <w:bottom w:val="none" w:sz="0" w:space="0" w:color="auto"/>
        <w:right w:val="none" w:sz="0" w:space="0" w:color="auto"/>
      </w:divBdr>
      <w:divsChild>
        <w:div w:id="1635477246">
          <w:marLeft w:val="0"/>
          <w:marRight w:val="0"/>
          <w:marTop w:val="0"/>
          <w:marBottom w:val="0"/>
          <w:divBdr>
            <w:top w:val="none" w:sz="0" w:space="0" w:color="auto"/>
            <w:left w:val="none" w:sz="0" w:space="0" w:color="auto"/>
            <w:bottom w:val="none" w:sz="0" w:space="0" w:color="auto"/>
            <w:right w:val="none" w:sz="0" w:space="0" w:color="auto"/>
          </w:divBdr>
        </w:div>
      </w:divsChild>
    </w:div>
    <w:div w:id="1915385701">
      <w:bodyDiv w:val="1"/>
      <w:marLeft w:val="0"/>
      <w:marRight w:val="0"/>
      <w:marTop w:val="0"/>
      <w:marBottom w:val="0"/>
      <w:divBdr>
        <w:top w:val="none" w:sz="0" w:space="0" w:color="auto"/>
        <w:left w:val="none" w:sz="0" w:space="0" w:color="auto"/>
        <w:bottom w:val="none" w:sz="0" w:space="0" w:color="auto"/>
        <w:right w:val="none" w:sz="0" w:space="0" w:color="auto"/>
      </w:divBdr>
    </w:div>
    <w:div w:id="1943220909">
      <w:bodyDiv w:val="1"/>
      <w:marLeft w:val="0"/>
      <w:marRight w:val="0"/>
      <w:marTop w:val="0"/>
      <w:marBottom w:val="0"/>
      <w:divBdr>
        <w:top w:val="none" w:sz="0" w:space="0" w:color="auto"/>
        <w:left w:val="none" w:sz="0" w:space="0" w:color="auto"/>
        <w:bottom w:val="none" w:sz="0" w:space="0" w:color="auto"/>
        <w:right w:val="none" w:sz="0" w:space="0" w:color="auto"/>
      </w:divBdr>
    </w:div>
    <w:div w:id="1954362939">
      <w:bodyDiv w:val="1"/>
      <w:marLeft w:val="0"/>
      <w:marRight w:val="0"/>
      <w:marTop w:val="0"/>
      <w:marBottom w:val="0"/>
      <w:divBdr>
        <w:top w:val="none" w:sz="0" w:space="0" w:color="auto"/>
        <w:left w:val="none" w:sz="0" w:space="0" w:color="auto"/>
        <w:bottom w:val="none" w:sz="0" w:space="0" w:color="auto"/>
        <w:right w:val="none" w:sz="0" w:space="0" w:color="auto"/>
      </w:divBdr>
    </w:div>
    <w:div w:id="210372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2.xml"/><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footer" Target="footer1.xml"/><Relationship Id="rId25" Type="http://schemas.openxmlformats.org/officeDocument/2006/relationships/image" Target="media/image11.pn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mailto:Diana.laipniece@izm.gov.lv" TargetMode="External"/><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image" Target="media/image10.png"/><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hyperlink" Target="mailto:Arkadijs.zvaigzne@izm.gov.lv" TargetMode="External"/><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png"/><Relationship Id="rId22" Type="http://schemas.openxmlformats.org/officeDocument/2006/relationships/chart" Target="charts/chart4.xml"/><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s://eua.eu/downloads/publications/define%20thematic%20report%20performance-based%20funding%20of%20universities%20in%20europe.pdf" TargetMode="External"/><Relationship Id="rId18" Type="http://schemas.openxmlformats.org/officeDocument/2006/relationships/hyperlink" Target="https://www.theguardian.com/education/2022/jun/29/uk-universities-warn-tuition-fee-crisis-could-mean-home-student-cutbacks" TargetMode="External"/><Relationship Id="rId26" Type="http://schemas.openxmlformats.org/officeDocument/2006/relationships/hyperlink" Target="https://hea.ie/skills-engagement/microcreds/" TargetMode="External"/><Relationship Id="rId39" Type="http://schemas.openxmlformats.org/officeDocument/2006/relationships/hyperlink" Target="https://www.researchcghe.org/publications/working-paper/the-changing-finances-of-world-class-universities/" TargetMode="External"/><Relationship Id="rId21" Type="http://schemas.openxmlformats.org/officeDocument/2006/relationships/hyperlink" Target="https://op.europa.eu/en/publication-detail/-/publication/40f84414-683f-11e7-b2f2-01aa75ed71a1/language-lv/format-PDF/source-search" TargetMode="External"/><Relationship Id="rId34" Type="http://schemas.openxmlformats.org/officeDocument/2006/relationships/hyperlink" Target="https://www.oecd.org/education/education-at-a-glance/" TargetMode="External"/><Relationship Id="rId42" Type="http://schemas.openxmlformats.org/officeDocument/2006/relationships/hyperlink" Target="https://www.utwente.nl/.uc/fb4d9b0ec010286e10701e8eb5e02729889105c7c7dc000/Performance%20Agreements%20in%20DK%2C%20ONT%20and%20NL.pdf" TargetMode="External"/><Relationship Id="rId47" Type="http://schemas.openxmlformats.org/officeDocument/2006/relationships/hyperlink" Target="https://link.springer.com/article/10.1007%2Fs11233-019-09044-x" TargetMode="External"/><Relationship Id="rId50" Type="http://schemas.openxmlformats.org/officeDocument/2006/relationships/hyperlink" Target="https://www.shanghairanking.com/institution/aalto-university" TargetMode="External"/><Relationship Id="rId55" Type="http://schemas.openxmlformats.org/officeDocument/2006/relationships/hyperlink" Target="https://www.sciencedirect.com/science/article/abs/pii/S004873332030161X" TargetMode="External"/><Relationship Id="rId7" Type="http://schemas.openxmlformats.org/officeDocument/2006/relationships/hyperlink" Target="https://data.oecd.org/eduresource/public-spending-on-education.htm" TargetMode="External"/><Relationship Id="rId12" Type="http://schemas.openxmlformats.org/officeDocument/2006/relationships/hyperlink" Target="https://link.springer.com/chapter/10.1007/978-3-319-20877-0_11" TargetMode="External"/><Relationship Id="rId17" Type="http://schemas.openxmlformats.org/officeDocument/2006/relationships/hyperlink" Target="https://www.compareyourcountry.org/snaps/education-at-a-glance-2021/en/2915/2018" TargetMode="External"/><Relationship Id="rId25" Type="http://schemas.openxmlformats.org/officeDocument/2006/relationships/hyperlink" Target="https://www.nki-latvija.lv/content/files/2021_Zinojums_MiKv_AL_1.pdf" TargetMode="External"/><Relationship Id="rId33" Type="http://schemas.openxmlformats.org/officeDocument/2006/relationships/hyperlink" Target="https://www.researchcghe.org/perch/resources/publications/wp41.pdf" TargetMode="External"/><Relationship Id="rId38" Type="http://schemas.openxmlformats.org/officeDocument/2006/relationships/hyperlink" Target="https://op.europa.eu/en/publication-detail/-/publication/01ea3b55-5160-11eb-b59f-01aa75ed71a1/language-en/format-PDF/source-184435368" TargetMode="External"/><Relationship Id="rId46" Type="http://schemas.openxmlformats.org/officeDocument/2006/relationships/hyperlink" Target="https://openknowledge.worldbank.org/handle/10986/2600" TargetMode="External"/><Relationship Id="rId2" Type="http://schemas.openxmlformats.org/officeDocument/2006/relationships/hyperlink" Target="https://ec.europa.eu/eurostat/databrowser/view/ilc_di12/default/table?lang=en" TargetMode="External"/><Relationship Id="rId16" Type="http://schemas.openxmlformats.org/officeDocument/2006/relationships/hyperlink" Target="https://link.springer.com/article/10.1007%2Fs11233-019-09044-x" TargetMode="External"/><Relationship Id="rId20" Type="http://schemas.openxmlformats.org/officeDocument/2006/relationships/hyperlink" Target="https://www.researchcghe.org/publications/working-paper/the-changing-finances-of-world-class-universities/" TargetMode="External"/><Relationship Id="rId29" Type="http://schemas.openxmlformats.org/officeDocument/2006/relationships/hyperlink" Target="https://openknowledge.worldbank.org/bitstream/handle/10986/31497/WPS8802.pdf?sequence=4&amp;isAllowed=y" TargetMode="External"/><Relationship Id="rId41" Type="http://schemas.openxmlformats.org/officeDocument/2006/relationships/hyperlink" Target="https://link-springer-com.ezp-prod1.hul.harvard.edu/article/10.1007/s11233-019-09055-8" TargetMode="External"/><Relationship Id="rId54" Type="http://schemas.openxmlformats.org/officeDocument/2006/relationships/hyperlink" Target="https://www.dfg.de/sites/exu-karte/en.html" TargetMode="External"/><Relationship Id="rId1" Type="http://schemas.openxmlformats.org/officeDocument/2006/relationships/hyperlink" Target="https://lvportals.lv/dienaskartiba/335820-2020-gada-majsaimniecibu-riciba-esosie-ienakumi-pieauga-par-81-2021" TargetMode="External"/><Relationship Id="rId6" Type="http://schemas.openxmlformats.org/officeDocument/2006/relationships/hyperlink" Target="https://ec.europa.eu/eurostat/databrowser/view/educ_uoe_fine09" TargetMode="External"/><Relationship Id="rId11" Type="http://schemas.openxmlformats.org/officeDocument/2006/relationships/hyperlink" Target="https://www.izm.gov.lv/lv/augstakas-izglitibas-finansesanas-modelis" TargetMode="External"/><Relationship Id="rId24" Type="http://schemas.openxmlformats.org/officeDocument/2006/relationships/hyperlink" Target="https://titania.saeima.lv/livs/saeimasnotikumi.nsf/0/27a521691afdef39c22585c700310654/$FILE/Pieaugu%C5%A1o%20izgl%C4%ABt%C4%ABba%20Latvij%C4%81_Fontes_11.02.2020.pptx" TargetMode="External"/><Relationship Id="rId32" Type="http://schemas.openxmlformats.org/officeDocument/2006/relationships/hyperlink" Target="https://eacea.ec.europa.eu/national-policies/eurydice/sites/default/files/towards_equity_and_inclusion_in_he_full_report_5.pdf" TargetMode="External"/><Relationship Id="rId37" Type="http://schemas.openxmlformats.org/officeDocument/2006/relationships/hyperlink" Target="https://eacea.ec.europa.eu/national-policies/eurydice/content/higher-education-funding-53_en" TargetMode="External"/><Relationship Id="rId40" Type="http://schemas.openxmlformats.org/officeDocument/2006/relationships/hyperlink" Target="https://link-springer-com.ezp-prod1.hul.harvard.edu/article/10.1007/s11233-019-09055-8" TargetMode="External"/><Relationship Id="rId45" Type="http://schemas.openxmlformats.org/officeDocument/2006/relationships/hyperlink" Target="https://openknowledge.worldbank.org/handle/10986/2600" TargetMode="External"/><Relationship Id="rId53" Type="http://schemas.openxmlformats.org/officeDocument/2006/relationships/hyperlink" Target="https://eacea.ec.europa.eu/national-policies/eurydice/content/higher-education-funding-31_en" TargetMode="External"/><Relationship Id="rId5" Type="http://schemas.openxmlformats.org/officeDocument/2006/relationships/hyperlink" Target="http://polsis.mk.gov.lv/documents/5245" TargetMode="External"/><Relationship Id="rId15" Type="http://schemas.openxmlformats.org/officeDocument/2006/relationships/hyperlink" Target="https://www.luminafoundation.org/files/resources/ensuring-quality-1.pdf" TargetMode="External"/><Relationship Id="rId23" Type="http://schemas.openxmlformats.org/officeDocument/2006/relationships/hyperlink" Target="https://likumi.lv/ta/id/331784-zinatniskas-darbibas-bazes-finansejuma-pieskirsanas-kartiba" TargetMode="External"/><Relationship Id="rId28" Type="http://schemas.openxmlformats.org/officeDocument/2006/relationships/hyperlink" Target="https://eacea.ec.europa.eu/national-policies/eurydice/content/national-student-fee-and-support-systems-european-higher-education-201819_en" TargetMode="External"/><Relationship Id="rId36" Type="http://schemas.openxmlformats.org/officeDocument/2006/relationships/hyperlink" Target="https://wonkhe.com/blogs/admissions-should-never-be-a-conveyor-belt/" TargetMode="External"/><Relationship Id="rId49" Type="http://schemas.openxmlformats.org/officeDocument/2006/relationships/hyperlink" Target="https://www.tandfonline.com/doi/abs/10.1080/21568235.2015.1099454" TargetMode="External"/><Relationship Id="rId57" Type="http://schemas.openxmlformats.org/officeDocument/2006/relationships/hyperlink" Target="https://www.sciencedirect.com/science/article/abs/pii/S004873332030161X" TargetMode="External"/><Relationship Id="rId10" Type="http://schemas.openxmlformats.org/officeDocument/2006/relationships/image" Target="media/image3.png"/><Relationship Id="rId19" Type="http://schemas.openxmlformats.org/officeDocument/2006/relationships/hyperlink" Target="https://www.internationalhighereducation.net/en/handbuch/gliederung/" TargetMode="External"/><Relationship Id="rId31" Type="http://schemas.openxmlformats.org/officeDocument/2006/relationships/hyperlink" Target="https://publications.parliament.uk/pa/cm201719/cmselect/cmtreasy/478/47804.htm" TargetMode="External"/><Relationship Id="rId44" Type="http://schemas.openxmlformats.org/officeDocument/2006/relationships/hyperlink" Target="https://link.springer.com/chapter/10.1007/978-3-319-20877-0_11" TargetMode="External"/><Relationship Id="rId52" Type="http://schemas.openxmlformats.org/officeDocument/2006/relationships/hyperlink" Target="https://www.topuniversities.com/universities/aalto-university" TargetMode="External"/><Relationship Id="rId4" Type="http://schemas.openxmlformats.org/officeDocument/2006/relationships/hyperlink" Target="http://tap.mk.gov.lv/lv/mk/tap/?pid=40335458" TargetMode="External"/><Relationship Id="rId9" Type="http://schemas.openxmlformats.org/officeDocument/2006/relationships/hyperlink" Target="https://ec.europa.eu/info/sites/info/files/2017-european-semester-national-reform-programme-latvia-lv.pdf" TargetMode="External"/><Relationship Id="rId14" Type="http://schemas.openxmlformats.org/officeDocument/2006/relationships/hyperlink" Target="https://link.springer.com/article/10.1007%2Fs11233-019-09044-x" TargetMode="External"/><Relationship Id="rId22" Type="http://schemas.openxmlformats.org/officeDocument/2006/relationships/hyperlink" Target="https://data-explorer.oecd.org/vis?df%5bds%5d=dsDisseminateFinalDMZ&amp;df%5bid%5d=DSD_EAG_UOE_FIN%40DF_UOE_FIN_NATURE_STAFF&amp;df%5bag%5d=OECD.EDU.IMEP&amp;df%5bvs%5d=1.0&amp;pd=2015%2C2020&amp;dq=..ISCED11_5T8..INST_EDU_PUB%2BINST_EDU_PRIV_GOV.CUR_LC%2BCUR_RET%2BCUR_NLC.Q.USD_PPP&amp;to%5bTIME_PERIOD%5d=true&amp;vw=tb" TargetMode="External"/><Relationship Id="rId27" Type="http://schemas.openxmlformats.org/officeDocument/2006/relationships/hyperlink" Target="https://www.internationalhighereducation.net/en/handbuch/gliederung/" TargetMode="External"/><Relationship Id="rId30" Type="http://schemas.openxmlformats.org/officeDocument/2006/relationships/hyperlink" Target="https://studentaid.gov/understand-aid/types/grants/teach" TargetMode="External"/><Relationship Id="rId35" Type="http://schemas.openxmlformats.org/officeDocument/2006/relationships/hyperlink" Target="https://www.internationalhighereducation.net/api-v1/article/!/action/getPdfOfArticle/articleID/3492/productID/29/filename/article-id-3492.pdf" TargetMode="External"/><Relationship Id="rId43" Type="http://schemas.openxmlformats.org/officeDocument/2006/relationships/hyperlink" Target="https://openknowledge.worldbank.org/handle/10986/2600" TargetMode="External"/><Relationship Id="rId48" Type="http://schemas.openxmlformats.org/officeDocument/2006/relationships/hyperlink" Target="https://openknowledge.worldbank.org/handle/10986/2600" TargetMode="External"/><Relationship Id="rId56" Type="http://schemas.openxmlformats.org/officeDocument/2006/relationships/hyperlink" Target="https://www.oecd.org/education/policy-outlook/country-profile-Germany-2020.pdf" TargetMode="External"/><Relationship Id="rId8" Type="http://schemas.openxmlformats.org/officeDocument/2006/relationships/hyperlink" Target="https://www.oecd.org/education/education-at-a-glance/" TargetMode="External"/><Relationship Id="rId51" Type="http://schemas.openxmlformats.org/officeDocument/2006/relationships/hyperlink" Target="https://www.timeshighereducation.com/world-university-rankings/aalto-university" TargetMode="External"/><Relationship Id="rId3" Type="http://schemas.openxmlformats.org/officeDocument/2006/relationships/hyperlink" Target="https://www.izm.gov.lv/lv/augstakas-izglitibas-finansesanas-modeli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rkad\Downloads\educ_uoe_fine09_page_spreadshee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cad3a3fc34294400/Dokumenti/Book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cad3a3fc34294400/Citi%20Darbi/Petijums%20par%20bezmaksas%20AI/Darba%20dokumenti/Indikatori.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2"/>
          <c:tx>
            <c:strRef>
              <c:f>'Sheet 1'!$A$14</c:f>
              <c:strCache>
                <c:ptCount val="1"/>
                <c:pt idx="0">
                  <c:v>Igaunija</c:v>
                </c:pt>
              </c:strCache>
            </c:strRef>
          </c:tx>
          <c:spPr>
            <a:ln w="28575" cap="rnd">
              <a:solidFill>
                <a:schemeClr val="accent3"/>
              </a:solidFill>
              <a:round/>
            </a:ln>
            <a:effectLst/>
          </c:spPr>
          <c:marker>
            <c:symbol val="none"/>
          </c:marker>
          <c:cat>
            <c:strRef>
              <c:f>'Sheet 1'!$B$9:$K$9</c:f>
              <c:strCache>
                <c:ptCount val="9"/>
                <c:pt idx="0">
                  <c:v>2012</c:v>
                </c:pt>
                <c:pt idx="1">
                  <c:v>2013</c:v>
                </c:pt>
                <c:pt idx="2">
                  <c:v>2014</c:v>
                </c:pt>
                <c:pt idx="3">
                  <c:v>2015</c:v>
                </c:pt>
                <c:pt idx="4">
                  <c:v>2016</c:v>
                </c:pt>
                <c:pt idx="5">
                  <c:v>2017</c:v>
                </c:pt>
                <c:pt idx="6">
                  <c:v>2018</c:v>
                </c:pt>
                <c:pt idx="7">
                  <c:v>2019</c:v>
                </c:pt>
                <c:pt idx="8">
                  <c:v>2020</c:v>
                </c:pt>
              </c:strCache>
            </c:strRef>
          </c:cat>
          <c:val>
            <c:numRef>
              <c:f>'Sheet 1'!$B$14:$J$14</c:f>
              <c:numCache>
                <c:formatCode>#\ ##0.##########</c:formatCode>
                <c:ptCount val="9"/>
                <c:pt idx="0">
                  <c:v>2858.6</c:v>
                </c:pt>
                <c:pt idx="1">
                  <c:v>4130.8</c:v>
                </c:pt>
                <c:pt idx="2">
                  <c:v>5283.4</c:v>
                </c:pt>
                <c:pt idx="3">
                  <c:v>5516.1</c:v>
                </c:pt>
                <c:pt idx="4">
                  <c:v>6258.8</c:v>
                </c:pt>
                <c:pt idx="5">
                  <c:v>5939.5</c:v>
                </c:pt>
                <c:pt idx="6">
                  <c:v>6849.1</c:v>
                </c:pt>
                <c:pt idx="7">
                  <c:v>6820.2</c:v>
                </c:pt>
                <c:pt idx="8" formatCode="#\ ##0.0">
                  <c:v>7029</c:v>
                </c:pt>
              </c:numCache>
            </c:numRef>
          </c:val>
          <c:smooth val="0"/>
          <c:extLst>
            <c:ext xmlns:c16="http://schemas.microsoft.com/office/drawing/2014/chart" uri="{C3380CC4-5D6E-409C-BE32-E72D297353CC}">
              <c16:uniqueId val="{00000000-EAA6-427B-B4F1-803D57BC4DA7}"/>
            </c:ext>
          </c:extLst>
        </c:ser>
        <c:ser>
          <c:idx val="3"/>
          <c:order val="3"/>
          <c:tx>
            <c:strRef>
              <c:f>'Sheet 1'!$A$15</c:f>
              <c:strCache>
                <c:ptCount val="1"/>
                <c:pt idx="0">
                  <c:v>Latvija</c:v>
                </c:pt>
              </c:strCache>
            </c:strRef>
          </c:tx>
          <c:spPr>
            <a:ln w="28575" cap="rnd">
              <a:solidFill>
                <a:schemeClr val="accent4"/>
              </a:solidFill>
              <a:round/>
            </a:ln>
            <a:effectLst/>
          </c:spPr>
          <c:marker>
            <c:symbol val="none"/>
          </c:marker>
          <c:cat>
            <c:strRef>
              <c:f>'Sheet 1'!$B$9:$K$9</c:f>
              <c:strCache>
                <c:ptCount val="9"/>
                <c:pt idx="0">
                  <c:v>2012</c:v>
                </c:pt>
                <c:pt idx="1">
                  <c:v>2013</c:v>
                </c:pt>
                <c:pt idx="2">
                  <c:v>2014</c:v>
                </c:pt>
                <c:pt idx="3">
                  <c:v>2015</c:v>
                </c:pt>
                <c:pt idx="4">
                  <c:v>2016</c:v>
                </c:pt>
                <c:pt idx="5">
                  <c:v>2017</c:v>
                </c:pt>
                <c:pt idx="6">
                  <c:v>2018</c:v>
                </c:pt>
                <c:pt idx="7">
                  <c:v>2019</c:v>
                </c:pt>
                <c:pt idx="8">
                  <c:v>2020</c:v>
                </c:pt>
              </c:strCache>
            </c:strRef>
          </c:cat>
          <c:val>
            <c:numRef>
              <c:f>'Sheet 1'!$B$15:$J$15</c:f>
              <c:numCache>
                <c:formatCode>#\ ##0.##########</c:formatCode>
                <c:ptCount val="9"/>
                <c:pt idx="0">
                  <c:v>3767.8</c:v>
                </c:pt>
                <c:pt idx="1">
                  <c:v>2795.2</c:v>
                </c:pt>
                <c:pt idx="2">
                  <c:v>3580.2</c:v>
                </c:pt>
                <c:pt idx="3">
                  <c:v>3979.4</c:v>
                </c:pt>
                <c:pt idx="4">
                  <c:v>2667.2</c:v>
                </c:pt>
                <c:pt idx="5">
                  <c:v>2658.9</c:v>
                </c:pt>
                <c:pt idx="6">
                  <c:v>3115.6</c:v>
                </c:pt>
                <c:pt idx="7">
                  <c:v>3743.2</c:v>
                </c:pt>
                <c:pt idx="8">
                  <c:v>3862.6</c:v>
                </c:pt>
              </c:numCache>
            </c:numRef>
          </c:val>
          <c:smooth val="0"/>
          <c:extLst>
            <c:ext xmlns:c16="http://schemas.microsoft.com/office/drawing/2014/chart" uri="{C3380CC4-5D6E-409C-BE32-E72D297353CC}">
              <c16:uniqueId val="{00000001-EAA6-427B-B4F1-803D57BC4DA7}"/>
            </c:ext>
          </c:extLst>
        </c:ser>
        <c:ser>
          <c:idx val="4"/>
          <c:order val="4"/>
          <c:tx>
            <c:strRef>
              <c:f>'Sheet 1'!$A$16</c:f>
              <c:strCache>
                <c:ptCount val="1"/>
                <c:pt idx="0">
                  <c:v>Lietuva</c:v>
                </c:pt>
              </c:strCache>
            </c:strRef>
          </c:tx>
          <c:spPr>
            <a:ln w="28575" cap="rnd">
              <a:solidFill>
                <a:schemeClr val="accent5"/>
              </a:solidFill>
              <a:round/>
            </a:ln>
            <a:effectLst/>
          </c:spPr>
          <c:marker>
            <c:symbol val="none"/>
          </c:marker>
          <c:cat>
            <c:strRef>
              <c:f>'Sheet 1'!$B$9:$K$9</c:f>
              <c:strCache>
                <c:ptCount val="9"/>
                <c:pt idx="0">
                  <c:v>2012</c:v>
                </c:pt>
                <c:pt idx="1">
                  <c:v>2013</c:v>
                </c:pt>
                <c:pt idx="2">
                  <c:v>2014</c:v>
                </c:pt>
                <c:pt idx="3">
                  <c:v>2015</c:v>
                </c:pt>
                <c:pt idx="4">
                  <c:v>2016</c:v>
                </c:pt>
                <c:pt idx="5">
                  <c:v>2017</c:v>
                </c:pt>
                <c:pt idx="6">
                  <c:v>2018</c:v>
                </c:pt>
                <c:pt idx="7">
                  <c:v>2019</c:v>
                </c:pt>
                <c:pt idx="8">
                  <c:v>2020</c:v>
                </c:pt>
              </c:strCache>
            </c:strRef>
          </c:cat>
          <c:val>
            <c:numRef>
              <c:f>'Sheet 1'!$B$16:$J$16</c:f>
              <c:numCache>
                <c:formatCode>#\ ##0.##########</c:formatCode>
                <c:ptCount val="9"/>
                <c:pt idx="0">
                  <c:v>3219.7</c:v>
                </c:pt>
                <c:pt idx="1">
                  <c:v>3105.1</c:v>
                </c:pt>
                <c:pt idx="2">
                  <c:v>3562.9</c:v>
                </c:pt>
                <c:pt idx="3">
                  <c:v>3382.4</c:v>
                </c:pt>
                <c:pt idx="4">
                  <c:v>2570.5</c:v>
                </c:pt>
                <c:pt idx="5">
                  <c:v>2710.8</c:v>
                </c:pt>
                <c:pt idx="6">
                  <c:v>3243.1</c:v>
                </c:pt>
                <c:pt idx="7">
                  <c:v>3710.4</c:v>
                </c:pt>
                <c:pt idx="8">
                  <c:v>4551.8</c:v>
                </c:pt>
              </c:numCache>
            </c:numRef>
          </c:val>
          <c:smooth val="0"/>
          <c:extLst>
            <c:ext xmlns:c16="http://schemas.microsoft.com/office/drawing/2014/chart" uri="{C3380CC4-5D6E-409C-BE32-E72D297353CC}">
              <c16:uniqueId val="{00000002-EAA6-427B-B4F1-803D57BC4DA7}"/>
            </c:ext>
          </c:extLst>
        </c:ser>
        <c:ser>
          <c:idx val="5"/>
          <c:order val="5"/>
          <c:tx>
            <c:strRef>
              <c:f>'Sheet 1'!$A$17</c:f>
              <c:strCache>
                <c:ptCount val="1"/>
                <c:pt idx="0">
                  <c:v>Somija</c:v>
                </c:pt>
              </c:strCache>
            </c:strRef>
          </c:tx>
          <c:spPr>
            <a:ln w="28575" cap="rnd">
              <a:solidFill>
                <a:schemeClr val="accent6"/>
              </a:solidFill>
              <a:round/>
            </a:ln>
            <a:effectLst/>
          </c:spPr>
          <c:marker>
            <c:symbol val="none"/>
          </c:marker>
          <c:cat>
            <c:strRef>
              <c:f>'Sheet 1'!$B$9:$K$9</c:f>
              <c:strCache>
                <c:ptCount val="9"/>
                <c:pt idx="0">
                  <c:v>2012</c:v>
                </c:pt>
                <c:pt idx="1">
                  <c:v>2013</c:v>
                </c:pt>
                <c:pt idx="2">
                  <c:v>2014</c:v>
                </c:pt>
                <c:pt idx="3">
                  <c:v>2015</c:v>
                </c:pt>
                <c:pt idx="4">
                  <c:v>2016</c:v>
                </c:pt>
                <c:pt idx="5">
                  <c:v>2017</c:v>
                </c:pt>
                <c:pt idx="6">
                  <c:v>2018</c:v>
                </c:pt>
                <c:pt idx="7">
                  <c:v>2019</c:v>
                </c:pt>
                <c:pt idx="8">
                  <c:v>2020</c:v>
                </c:pt>
              </c:strCache>
            </c:strRef>
          </c:cat>
          <c:val>
            <c:numRef>
              <c:f>'Sheet 1'!$B$17:$J$17</c:f>
              <c:numCache>
                <c:formatCode>#\ ##0.##########</c:formatCode>
                <c:ptCount val="9"/>
                <c:pt idx="0">
                  <c:v>18229.3</c:v>
                </c:pt>
                <c:pt idx="1">
                  <c:v>18100.8</c:v>
                </c:pt>
                <c:pt idx="2">
                  <c:v>18235.5</c:v>
                </c:pt>
                <c:pt idx="3">
                  <c:v>17547.900000000001</c:v>
                </c:pt>
                <c:pt idx="4">
                  <c:v>17252.599999999999</c:v>
                </c:pt>
                <c:pt idx="5">
                  <c:v>16180.7</c:v>
                </c:pt>
                <c:pt idx="6" formatCode="#\ ##0.0">
                  <c:v>15510</c:v>
                </c:pt>
                <c:pt idx="7">
                  <c:v>15587.8</c:v>
                </c:pt>
                <c:pt idx="8">
                  <c:v>15975.6</c:v>
                </c:pt>
              </c:numCache>
            </c:numRef>
          </c:val>
          <c:smooth val="0"/>
          <c:extLst>
            <c:ext xmlns:c16="http://schemas.microsoft.com/office/drawing/2014/chart" uri="{C3380CC4-5D6E-409C-BE32-E72D297353CC}">
              <c16:uniqueId val="{00000003-EAA6-427B-B4F1-803D57BC4DA7}"/>
            </c:ext>
          </c:extLst>
        </c:ser>
        <c:dLbls>
          <c:showLegendKey val="0"/>
          <c:showVal val="0"/>
          <c:showCatName val="0"/>
          <c:showSerName val="0"/>
          <c:showPercent val="0"/>
          <c:showBubbleSize val="0"/>
        </c:dLbls>
        <c:smooth val="0"/>
        <c:axId val="1569307951"/>
        <c:axId val="1532732527"/>
        <c:extLst>
          <c:ext xmlns:c15="http://schemas.microsoft.com/office/drawing/2012/chart" uri="{02D57815-91ED-43cb-92C2-25804820EDAC}">
            <c15:filteredLineSeries>
              <c15:ser>
                <c:idx val="0"/>
                <c:order val="0"/>
                <c:tx>
                  <c:strRef>
                    <c:extLst>
                      <c:ext uri="{02D57815-91ED-43cb-92C2-25804820EDAC}">
                        <c15:formulaRef>
                          <c15:sqref>'Sheet 1'!$A$12</c15:sqref>
                        </c15:formulaRef>
                      </c:ext>
                    </c:extLst>
                    <c:strCache>
                      <c:ptCount val="1"/>
                      <c:pt idx="0">
                        <c:v>Denmark</c:v>
                      </c:pt>
                    </c:strCache>
                  </c:strRef>
                </c:tx>
                <c:spPr>
                  <a:ln w="28575" cap="rnd">
                    <a:solidFill>
                      <a:schemeClr val="accent1"/>
                    </a:solidFill>
                    <a:round/>
                  </a:ln>
                  <a:effectLst/>
                </c:spPr>
                <c:marker>
                  <c:symbol val="none"/>
                </c:marker>
                <c:cat>
                  <c:strRef>
                    <c:extLst>
                      <c:ext uri="{02D57815-91ED-43cb-92C2-25804820EDAC}">
                        <c15:formulaRef>
                          <c15:sqref>'Sheet 1'!$B$9:$K$9</c15:sqref>
                        </c15:formulaRef>
                      </c:ext>
                    </c:extLst>
                    <c:strCache>
                      <c:ptCount val="9"/>
                      <c:pt idx="0">
                        <c:v>2012</c:v>
                      </c:pt>
                      <c:pt idx="1">
                        <c:v>2013</c:v>
                      </c:pt>
                      <c:pt idx="2">
                        <c:v>2014</c:v>
                      </c:pt>
                      <c:pt idx="3">
                        <c:v>2015</c:v>
                      </c:pt>
                      <c:pt idx="4">
                        <c:v>2016</c:v>
                      </c:pt>
                      <c:pt idx="5">
                        <c:v>2017</c:v>
                      </c:pt>
                      <c:pt idx="6">
                        <c:v>2018</c:v>
                      </c:pt>
                      <c:pt idx="7">
                        <c:v>2019</c:v>
                      </c:pt>
                      <c:pt idx="8">
                        <c:v>2020</c:v>
                      </c:pt>
                    </c:strCache>
                  </c:strRef>
                </c:cat>
                <c:val>
                  <c:numRef>
                    <c:extLst>
                      <c:ext uri="{02D57815-91ED-43cb-92C2-25804820EDAC}">
                        <c15:formulaRef>
                          <c15:sqref>'Sheet 1'!$B$12:$J$12</c15:sqref>
                        </c15:formulaRef>
                      </c:ext>
                    </c:extLst>
                    <c:numCache>
                      <c:formatCode>#\ ##0.##########</c:formatCode>
                      <c:ptCount val="9"/>
                      <c:pt idx="0">
                        <c:v>19921.099999999999</c:v>
                      </c:pt>
                      <c:pt idx="1">
                        <c:v>20732.599999999999</c:v>
                      </c:pt>
                      <c:pt idx="2">
                        <c:v>21272.7</c:v>
                      </c:pt>
                      <c:pt idx="3" formatCode="#,##0">
                        <c:v>0</c:v>
                      </c:pt>
                      <c:pt idx="4">
                        <c:v>25207.7</c:v>
                      </c:pt>
                      <c:pt idx="5">
                        <c:v>24152.2</c:v>
                      </c:pt>
                      <c:pt idx="6">
                        <c:v>24470.400000000001</c:v>
                      </c:pt>
                      <c:pt idx="7">
                        <c:v>24825.8</c:v>
                      </c:pt>
                      <c:pt idx="8">
                        <c:v>26152.6</c:v>
                      </c:pt>
                    </c:numCache>
                  </c:numRef>
                </c:val>
                <c:smooth val="0"/>
                <c:extLst>
                  <c:ext xmlns:c16="http://schemas.microsoft.com/office/drawing/2014/chart" uri="{C3380CC4-5D6E-409C-BE32-E72D297353CC}">
                    <c16:uniqueId val="{00000004-EAA6-427B-B4F1-803D57BC4DA7}"/>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'Sheet 1'!$A$13</c15:sqref>
                        </c15:formulaRef>
                      </c:ext>
                    </c:extLst>
                    <c:strCache>
                      <c:ptCount val="1"/>
                      <c:pt idx="0">
                        <c:v>Germany</c:v>
                      </c:pt>
                    </c:strCache>
                  </c:strRef>
                </c:tx>
                <c:spPr>
                  <a:ln w="28575" cap="rnd">
                    <a:solidFill>
                      <a:schemeClr val="accent2"/>
                    </a:solidFill>
                    <a:round/>
                  </a:ln>
                  <a:effectLst/>
                </c:spPr>
                <c:marker>
                  <c:symbol val="none"/>
                </c:marker>
                <c:cat>
                  <c:strRef>
                    <c:extLst xmlns:c15="http://schemas.microsoft.com/office/drawing/2012/chart">
                      <c:ext xmlns:c15="http://schemas.microsoft.com/office/drawing/2012/chart" uri="{02D57815-91ED-43cb-92C2-25804820EDAC}">
                        <c15:formulaRef>
                          <c15:sqref>'Sheet 1'!$B$9:$K$9</c15:sqref>
                        </c15:formulaRef>
                      </c:ext>
                    </c:extLst>
                    <c:strCache>
                      <c:ptCount val="9"/>
                      <c:pt idx="0">
                        <c:v>2012</c:v>
                      </c:pt>
                      <c:pt idx="1">
                        <c:v>2013</c:v>
                      </c:pt>
                      <c:pt idx="2">
                        <c:v>2014</c:v>
                      </c:pt>
                      <c:pt idx="3">
                        <c:v>2015</c:v>
                      </c:pt>
                      <c:pt idx="4">
                        <c:v>2016</c:v>
                      </c:pt>
                      <c:pt idx="5">
                        <c:v>2017</c:v>
                      </c:pt>
                      <c:pt idx="6">
                        <c:v>2018</c:v>
                      </c:pt>
                      <c:pt idx="7">
                        <c:v>2019</c:v>
                      </c:pt>
                      <c:pt idx="8">
                        <c:v>2020</c:v>
                      </c:pt>
                    </c:strCache>
                  </c:strRef>
                </c:cat>
                <c:val>
                  <c:numRef>
                    <c:extLst xmlns:c15="http://schemas.microsoft.com/office/drawing/2012/chart">
                      <c:ext xmlns:c15="http://schemas.microsoft.com/office/drawing/2012/chart" uri="{02D57815-91ED-43cb-92C2-25804820EDAC}">
                        <c15:formulaRef>
                          <c15:sqref>'Sheet 1'!$B$13:$J$13</c15:sqref>
                        </c15:formulaRef>
                      </c:ext>
                    </c:extLst>
                    <c:numCache>
                      <c:formatCode>#\ ##0.##########</c:formatCode>
                      <c:ptCount val="9"/>
                      <c:pt idx="0">
                        <c:v>14152.1</c:v>
                      </c:pt>
                      <c:pt idx="1">
                        <c:v>13645.3</c:v>
                      </c:pt>
                      <c:pt idx="2">
                        <c:v>13691.6</c:v>
                      </c:pt>
                      <c:pt idx="3">
                        <c:v>13550.6</c:v>
                      </c:pt>
                      <c:pt idx="4">
                        <c:v>13786.8</c:v>
                      </c:pt>
                      <c:pt idx="5">
                        <c:v>14011.7</c:v>
                      </c:pt>
                      <c:pt idx="6">
                        <c:v>14568.3</c:v>
                      </c:pt>
                      <c:pt idx="7">
                        <c:v>14716.3</c:v>
                      </c:pt>
                      <c:pt idx="8">
                        <c:v>15520.6</c:v>
                      </c:pt>
                    </c:numCache>
                  </c:numRef>
                </c:val>
                <c:smooth val="0"/>
                <c:extLst xmlns:c15="http://schemas.microsoft.com/office/drawing/2012/chart">
                  <c:ext xmlns:c16="http://schemas.microsoft.com/office/drawing/2014/chart" uri="{C3380CC4-5D6E-409C-BE32-E72D297353CC}">
                    <c16:uniqueId val="{00000005-EAA6-427B-B4F1-803D57BC4DA7}"/>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'Sheet 1'!$A$18</c15:sqref>
                        </c15:formulaRef>
                      </c:ext>
                    </c:extLst>
                    <c:strCache>
                      <c:ptCount val="1"/>
                      <c:pt idx="0">
                        <c:v>Romania</c:v>
                      </c:pt>
                    </c:strCache>
                  </c:strRef>
                </c:tx>
                <c:spPr>
                  <a:ln w="28575" cap="rnd">
                    <a:solidFill>
                      <a:schemeClr val="accent1">
                        <a:lumMod val="60000"/>
                      </a:schemeClr>
                    </a:solidFill>
                    <a:round/>
                  </a:ln>
                  <a:effectLst/>
                </c:spPr>
                <c:marker>
                  <c:symbol val="none"/>
                </c:marker>
                <c:cat>
                  <c:strRef>
                    <c:extLst xmlns:c15="http://schemas.microsoft.com/office/drawing/2012/chart">
                      <c:ext xmlns:c15="http://schemas.microsoft.com/office/drawing/2012/chart" uri="{02D57815-91ED-43cb-92C2-25804820EDAC}">
                        <c15:formulaRef>
                          <c15:sqref>'Sheet 1'!$B$9:$K$9</c15:sqref>
                        </c15:formulaRef>
                      </c:ext>
                    </c:extLst>
                    <c:strCache>
                      <c:ptCount val="9"/>
                      <c:pt idx="0">
                        <c:v>2012</c:v>
                      </c:pt>
                      <c:pt idx="1">
                        <c:v>2013</c:v>
                      </c:pt>
                      <c:pt idx="2">
                        <c:v>2014</c:v>
                      </c:pt>
                      <c:pt idx="3">
                        <c:v>2015</c:v>
                      </c:pt>
                      <c:pt idx="4">
                        <c:v>2016</c:v>
                      </c:pt>
                      <c:pt idx="5">
                        <c:v>2017</c:v>
                      </c:pt>
                      <c:pt idx="6">
                        <c:v>2018</c:v>
                      </c:pt>
                      <c:pt idx="7">
                        <c:v>2019</c:v>
                      </c:pt>
                      <c:pt idx="8">
                        <c:v>2020</c:v>
                      </c:pt>
                    </c:strCache>
                  </c:strRef>
                </c:cat>
                <c:val>
                  <c:numRef>
                    <c:extLst xmlns:c15="http://schemas.microsoft.com/office/drawing/2012/chart">
                      <c:ext xmlns:c15="http://schemas.microsoft.com/office/drawing/2012/chart" uri="{02D57815-91ED-43cb-92C2-25804820EDAC}">
                        <c15:formulaRef>
                          <c15:sqref>'Sheet 1'!$B$18:$J$18</c15:sqref>
                        </c15:formulaRef>
                      </c:ext>
                    </c:extLst>
                    <c:numCache>
                      <c:formatCode>#\ ##0.##########</c:formatCode>
                      <c:ptCount val="9"/>
                      <c:pt idx="0">
                        <c:v>1646.9</c:v>
                      </c:pt>
                      <c:pt idx="1">
                        <c:v>1439.6</c:v>
                      </c:pt>
                      <c:pt idx="2">
                        <c:v>1965.1</c:v>
                      </c:pt>
                      <c:pt idx="3">
                        <c:v>2051.3000000000002</c:v>
                      </c:pt>
                      <c:pt idx="4">
                        <c:v>2350.8000000000002</c:v>
                      </c:pt>
                      <c:pt idx="5" formatCode="#\ ##0.0">
                        <c:v>2623</c:v>
                      </c:pt>
                      <c:pt idx="6" formatCode="#\ ##0.0">
                        <c:v>2990</c:v>
                      </c:pt>
                      <c:pt idx="7">
                        <c:v>3533.3</c:v>
                      </c:pt>
                      <c:pt idx="8">
                        <c:v>3388.7</c:v>
                      </c:pt>
                    </c:numCache>
                  </c:numRef>
                </c:val>
                <c:smooth val="0"/>
                <c:extLst xmlns:c15="http://schemas.microsoft.com/office/drawing/2012/chart">
                  <c:ext xmlns:c16="http://schemas.microsoft.com/office/drawing/2014/chart" uri="{C3380CC4-5D6E-409C-BE32-E72D297353CC}">
                    <c16:uniqueId val="{00000006-EAA6-427B-B4F1-803D57BC4DA7}"/>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'Sheet 1'!$A$19</c15:sqref>
                        </c15:formulaRef>
                      </c:ext>
                    </c:extLst>
                    <c:strCache>
                      <c:ptCount val="1"/>
                      <c:pt idx="0">
                        <c:v>Poland</c:v>
                      </c:pt>
                    </c:strCache>
                  </c:strRef>
                </c:tx>
                <c:spPr>
                  <a:ln w="28575" cap="rnd">
                    <a:solidFill>
                      <a:schemeClr val="accent2">
                        <a:lumMod val="60000"/>
                      </a:schemeClr>
                    </a:solidFill>
                    <a:round/>
                  </a:ln>
                  <a:effectLst/>
                </c:spPr>
                <c:marker>
                  <c:symbol val="none"/>
                </c:marker>
                <c:cat>
                  <c:strRef>
                    <c:extLst xmlns:c15="http://schemas.microsoft.com/office/drawing/2012/chart">
                      <c:ext xmlns:c15="http://schemas.microsoft.com/office/drawing/2012/chart" uri="{02D57815-91ED-43cb-92C2-25804820EDAC}">
                        <c15:formulaRef>
                          <c15:sqref>'Sheet 1'!$B$9:$K$9</c15:sqref>
                        </c15:formulaRef>
                      </c:ext>
                    </c:extLst>
                    <c:strCache>
                      <c:ptCount val="9"/>
                      <c:pt idx="0">
                        <c:v>2012</c:v>
                      </c:pt>
                      <c:pt idx="1">
                        <c:v>2013</c:v>
                      </c:pt>
                      <c:pt idx="2">
                        <c:v>2014</c:v>
                      </c:pt>
                      <c:pt idx="3">
                        <c:v>2015</c:v>
                      </c:pt>
                      <c:pt idx="4">
                        <c:v>2016</c:v>
                      </c:pt>
                      <c:pt idx="5">
                        <c:v>2017</c:v>
                      </c:pt>
                      <c:pt idx="6">
                        <c:v>2018</c:v>
                      </c:pt>
                      <c:pt idx="7">
                        <c:v>2019</c:v>
                      </c:pt>
                      <c:pt idx="8">
                        <c:v>2020</c:v>
                      </c:pt>
                    </c:strCache>
                  </c:strRef>
                </c:cat>
                <c:val>
                  <c:numRef>
                    <c:extLst xmlns:c15="http://schemas.microsoft.com/office/drawing/2012/chart">
                      <c:ext xmlns:c15="http://schemas.microsoft.com/office/drawing/2012/chart" uri="{02D57815-91ED-43cb-92C2-25804820EDAC}">
                        <c15:formulaRef>
                          <c15:sqref>'Sheet 1'!$B$19:$J$19</c15:sqref>
                        </c15:formulaRef>
                      </c:ext>
                    </c:extLst>
                    <c:numCache>
                      <c:formatCode>#\ ##0.0</c:formatCode>
                      <c:ptCount val="9"/>
                      <c:pt idx="0" formatCode="#\ ##0.##########">
                        <c:v>2833.8</c:v>
                      </c:pt>
                      <c:pt idx="1">
                        <c:v>3147</c:v>
                      </c:pt>
                      <c:pt idx="2" formatCode="#\ ##0.##########">
                        <c:v>3310.3</c:v>
                      </c:pt>
                      <c:pt idx="3" formatCode="#\ ##0.##########">
                        <c:v>3562.4</c:v>
                      </c:pt>
                      <c:pt idx="4" formatCode="#\ ##0.##########">
                        <c:v>3249.5</c:v>
                      </c:pt>
                      <c:pt idx="5" formatCode="#\ ##0.##########">
                        <c:v>3726.2</c:v>
                      </c:pt>
                      <c:pt idx="6" formatCode="#\ ##0.##########">
                        <c:v>4066.9</c:v>
                      </c:pt>
                      <c:pt idx="7" formatCode="#\ ##0.##########">
                        <c:v>4704.2</c:v>
                      </c:pt>
                      <c:pt idx="8" formatCode="#\ ##0.##########">
                        <c:v>4978.7</c:v>
                      </c:pt>
                    </c:numCache>
                  </c:numRef>
                </c:val>
                <c:smooth val="0"/>
                <c:extLst xmlns:c15="http://schemas.microsoft.com/office/drawing/2012/chart">
                  <c:ext xmlns:c16="http://schemas.microsoft.com/office/drawing/2014/chart" uri="{C3380CC4-5D6E-409C-BE32-E72D297353CC}">
                    <c16:uniqueId val="{00000007-EAA6-427B-B4F1-803D57BC4DA7}"/>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'Sheet 1'!$A$20</c15:sqref>
                        </c15:formulaRef>
                      </c:ext>
                    </c:extLst>
                    <c:strCache>
                      <c:ptCount val="1"/>
                      <c:pt idx="0">
                        <c:v>Bulgaria</c:v>
                      </c:pt>
                    </c:strCache>
                  </c:strRef>
                </c:tx>
                <c:spPr>
                  <a:ln w="28575" cap="rnd">
                    <a:solidFill>
                      <a:schemeClr val="accent3">
                        <a:lumMod val="60000"/>
                      </a:schemeClr>
                    </a:solidFill>
                    <a:round/>
                  </a:ln>
                  <a:effectLst/>
                </c:spPr>
                <c:marker>
                  <c:symbol val="none"/>
                </c:marker>
                <c:cat>
                  <c:strRef>
                    <c:extLst xmlns:c15="http://schemas.microsoft.com/office/drawing/2012/chart">
                      <c:ext xmlns:c15="http://schemas.microsoft.com/office/drawing/2012/chart" uri="{02D57815-91ED-43cb-92C2-25804820EDAC}">
                        <c15:formulaRef>
                          <c15:sqref>'Sheet 1'!$B$9:$K$9</c15:sqref>
                        </c15:formulaRef>
                      </c:ext>
                    </c:extLst>
                    <c:strCache>
                      <c:ptCount val="9"/>
                      <c:pt idx="0">
                        <c:v>2012</c:v>
                      </c:pt>
                      <c:pt idx="1">
                        <c:v>2013</c:v>
                      </c:pt>
                      <c:pt idx="2">
                        <c:v>2014</c:v>
                      </c:pt>
                      <c:pt idx="3">
                        <c:v>2015</c:v>
                      </c:pt>
                      <c:pt idx="4">
                        <c:v>2016</c:v>
                      </c:pt>
                      <c:pt idx="5">
                        <c:v>2017</c:v>
                      </c:pt>
                      <c:pt idx="6">
                        <c:v>2018</c:v>
                      </c:pt>
                      <c:pt idx="7">
                        <c:v>2019</c:v>
                      </c:pt>
                      <c:pt idx="8">
                        <c:v>2020</c:v>
                      </c:pt>
                    </c:strCache>
                  </c:strRef>
                </c:cat>
                <c:val>
                  <c:numRef>
                    <c:extLst xmlns:c15="http://schemas.microsoft.com/office/drawing/2012/chart">
                      <c:ext xmlns:c15="http://schemas.microsoft.com/office/drawing/2012/chart" uri="{02D57815-91ED-43cb-92C2-25804820EDAC}">
                        <c15:formulaRef>
                          <c15:sqref>'Sheet 1'!$B$20:$J$20</c15:sqref>
                        </c15:formulaRef>
                      </c:ext>
                    </c:extLst>
                    <c:numCache>
                      <c:formatCode>#\ ##0.##########</c:formatCode>
                      <c:ptCount val="9"/>
                      <c:pt idx="0">
                        <c:v>1111.7</c:v>
                      </c:pt>
                      <c:pt idx="1">
                        <c:v>1179.2</c:v>
                      </c:pt>
                      <c:pt idx="2">
                        <c:v>1275.4000000000001</c:v>
                      </c:pt>
                      <c:pt idx="3">
                        <c:v>1277.7</c:v>
                      </c:pt>
                      <c:pt idx="4">
                        <c:v>1320.3</c:v>
                      </c:pt>
                      <c:pt idx="5">
                        <c:v>2080.9</c:v>
                      </c:pt>
                      <c:pt idx="6">
                        <c:v>2184.4</c:v>
                      </c:pt>
                      <c:pt idx="7" formatCode="#\ ##0.0">
                        <c:v>2579</c:v>
                      </c:pt>
                      <c:pt idx="8" formatCode="#\ ##0.0">
                        <c:v>2681</c:v>
                      </c:pt>
                    </c:numCache>
                  </c:numRef>
                </c:val>
                <c:smooth val="0"/>
                <c:extLst xmlns:c15="http://schemas.microsoft.com/office/drawing/2012/chart">
                  <c:ext xmlns:c16="http://schemas.microsoft.com/office/drawing/2014/chart" uri="{C3380CC4-5D6E-409C-BE32-E72D297353CC}">
                    <c16:uniqueId val="{00000008-EAA6-427B-B4F1-803D57BC4DA7}"/>
                  </c:ext>
                </c:extLst>
              </c15:ser>
            </c15:filteredLineSeries>
          </c:ext>
        </c:extLst>
      </c:lineChart>
      <c:catAx>
        <c:axId val="15693079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32732527"/>
        <c:crosses val="autoZero"/>
        <c:auto val="1"/>
        <c:lblAlgn val="ctr"/>
        <c:lblOffset val="100"/>
        <c:noMultiLvlLbl val="0"/>
      </c:catAx>
      <c:valAx>
        <c:axId val="153273252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EUR/Studējošais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 ##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693079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DP_LIVE_07112023123659675!$B$1</c:f>
              <c:strCache>
                <c:ptCount val="1"/>
                <c:pt idx="0">
                  <c:v>Value</c:v>
                </c:pt>
              </c:strCache>
            </c:strRef>
          </c:tx>
          <c:spPr>
            <a:solidFill>
              <a:schemeClr val="accent1"/>
            </a:solidFill>
            <a:ln>
              <a:noFill/>
            </a:ln>
            <a:effectLst/>
          </c:spPr>
          <c:invertIfNegative val="0"/>
          <c:dPt>
            <c:idx val="9"/>
            <c:invertIfNegative val="0"/>
            <c:bubble3D val="0"/>
            <c:spPr>
              <a:solidFill>
                <a:srgbClr val="C00000"/>
              </a:solidFill>
              <a:ln>
                <a:noFill/>
              </a:ln>
              <a:effectLst/>
            </c:spPr>
            <c:extLst>
              <c:ext xmlns:c16="http://schemas.microsoft.com/office/drawing/2014/chart" uri="{C3380CC4-5D6E-409C-BE32-E72D297353CC}">
                <c16:uniqueId val="{00000001-6AA1-4F67-AC9E-313CF007CCE0}"/>
              </c:ext>
            </c:extLst>
          </c:dPt>
          <c:dPt>
            <c:idx val="10"/>
            <c:invertIfNegative val="0"/>
            <c:bubble3D val="0"/>
            <c:spPr>
              <a:solidFill>
                <a:srgbClr val="FFFF00"/>
              </a:solidFill>
              <a:ln>
                <a:noFill/>
              </a:ln>
              <a:effectLst/>
            </c:spPr>
            <c:extLst>
              <c:ext xmlns:c16="http://schemas.microsoft.com/office/drawing/2014/chart" uri="{C3380CC4-5D6E-409C-BE32-E72D297353CC}">
                <c16:uniqueId val="{00000003-6AA1-4F67-AC9E-313CF007CCE0}"/>
              </c:ext>
            </c:extLst>
          </c:dPt>
          <c:dPt>
            <c:idx val="13"/>
            <c:invertIfNegative val="0"/>
            <c:bubble3D val="0"/>
            <c:spPr>
              <a:solidFill>
                <a:srgbClr val="7030A0"/>
              </a:solidFill>
              <a:ln>
                <a:noFill/>
              </a:ln>
              <a:effectLst/>
            </c:spPr>
            <c:extLst>
              <c:ext xmlns:c16="http://schemas.microsoft.com/office/drawing/2014/chart" uri="{C3380CC4-5D6E-409C-BE32-E72D297353CC}">
                <c16:uniqueId val="{00000005-6AA1-4F67-AC9E-313CF007CCE0}"/>
              </c:ext>
            </c:extLst>
          </c:dPt>
          <c:dPt>
            <c:idx val="16"/>
            <c:invertIfNegative val="0"/>
            <c:bubble3D val="0"/>
            <c:spPr>
              <a:solidFill>
                <a:srgbClr val="00B050"/>
              </a:solidFill>
              <a:ln>
                <a:noFill/>
              </a:ln>
              <a:effectLst/>
            </c:spPr>
            <c:extLst>
              <c:ext xmlns:c16="http://schemas.microsoft.com/office/drawing/2014/chart" uri="{C3380CC4-5D6E-409C-BE32-E72D297353CC}">
                <c16:uniqueId val="{00000007-6AA1-4F67-AC9E-313CF007CCE0}"/>
              </c:ext>
            </c:extLst>
          </c:dPt>
          <c:cat>
            <c:strRef>
              <c:f>(DP_LIVE_07112023123659675!$A$2,DP_LIVE_07112023123659675!$A$5:$A$6,DP_LIVE_07112023123659675!$A$8:$A$9,DP_LIVE_07112023123659675!$A$12:$A$15,DP_LIVE_07112023123659675!$A$17,DP_LIVE_07112023123659675!$A$21:$A$22,DP_LIVE_07112023123659675!$A$25:$A$27,DP_LIVE_07112023123659675!$A$29,DP_LIVE_07112023123659675!$A$32,DP_LIVE_07112023123659675!$A$34:$A$36,DP_LIVE_07112023123659675!$A$39:$A$41,DP_LIVE_07112023123659675!$A$43:$A$46)</c:f>
              <c:strCache>
                <c:ptCount val="27"/>
                <c:pt idx="0">
                  <c:v>Luksemburga</c:v>
                </c:pt>
                <c:pt idx="1">
                  <c:v>Apvienotā karaliste</c:v>
                </c:pt>
                <c:pt idx="2">
                  <c:v>Īrija</c:v>
                </c:pt>
                <c:pt idx="3">
                  <c:v>Itālija</c:v>
                </c:pt>
                <c:pt idx="4">
                  <c:v>Ungārija</c:v>
                </c:pt>
                <c:pt idx="5">
                  <c:v>Bulgārija</c:v>
                </c:pt>
                <c:pt idx="6">
                  <c:v>Rumānija</c:v>
                </c:pt>
                <c:pt idx="7">
                  <c:v>Portugāle</c:v>
                </c:pt>
                <c:pt idx="8">
                  <c:v>Slovākija</c:v>
                </c:pt>
                <c:pt idx="9">
                  <c:v>Latvija</c:v>
                </c:pt>
                <c:pt idx="10">
                  <c:v>Lietuva</c:v>
                </c:pt>
                <c:pt idx="11">
                  <c:v>Horvātija</c:v>
                </c:pt>
                <c:pt idx="12">
                  <c:v>Spānija</c:v>
                </c:pt>
                <c:pt idx="13">
                  <c:v>Vidēji OECD</c:v>
                </c:pt>
                <c:pt idx="14">
                  <c:v>Slovēnija</c:v>
                </c:pt>
                <c:pt idx="15">
                  <c:v>Polija</c:v>
                </c:pt>
                <c:pt idx="16">
                  <c:v>Igaunija</c:v>
                </c:pt>
                <c:pt idx="17">
                  <c:v>Vācija</c:v>
                </c:pt>
                <c:pt idx="18">
                  <c:v>Francija</c:v>
                </c:pt>
                <c:pt idx="19">
                  <c:v>Nīderlande</c:v>
                </c:pt>
                <c:pt idx="20">
                  <c:v>Zviedrija</c:v>
                </c:pt>
                <c:pt idx="21">
                  <c:v>Šveice</c:v>
                </c:pt>
                <c:pt idx="22">
                  <c:v>Beļģija</c:v>
                </c:pt>
                <c:pt idx="23">
                  <c:v>Somija</c:v>
                </c:pt>
                <c:pt idx="24">
                  <c:v>Dānija</c:v>
                </c:pt>
                <c:pt idx="25">
                  <c:v>Austrija</c:v>
                </c:pt>
                <c:pt idx="26">
                  <c:v>Norvēģija</c:v>
                </c:pt>
              </c:strCache>
              <c:extLst/>
            </c:strRef>
          </c:cat>
          <c:val>
            <c:numRef>
              <c:f>(DP_LIVE_07112023123659675!$B$2,DP_LIVE_07112023123659675!$B$5:$B$6,DP_LIVE_07112023123659675!$B$8:$B$9,DP_LIVE_07112023123659675!$B$12:$B$15,DP_LIVE_07112023123659675!$B$17,DP_LIVE_07112023123659675!$B$21:$B$22,DP_LIVE_07112023123659675!$B$25:$B$27,DP_LIVE_07112023123659675!$B$29,DP_LIVE_07112023123659675!$B$32,DP_LIVE_07112023123659675!$B$34:$B$36,DP_LIVE_07112023123659675!$B$39:$B$41,DP_LIVE_07112023123659675!$B$43:$B$46)</c:f>
              <c:numCache>
                <c:formatCode>0.00</c:formatCode>
                <c:ptCount val="27"/>
                <c:pt idx="0">
                  <c:v>0.42718129999999999</c:v>
                </c:pt>
                <c:pt idx="1">
                  <c:v>0.50865948000000005</c:v>
                </c:pt>
                <c:pt idx="2">
                  <c:v>0.56698519000000003</c:v>
                </c:pt>
                <c:pt idx="3">
                  <c:v>0.62279527999999995</c:v>
                </c:pt>
                <c:pt idx="4">
                  <c:v>0.62446988000000003</c:v>
                </c:pt>
                <c:pt idx="5">
                  <c:v>0.73220921000000005</c:v>
                </c:pt>
                <c:pt idx="6">
                  <c:v>0.73417520999999997</c:v>
                </c:pt>
                <c:pt idx="7">
                  <c:v>0.76751667000000001</c:v>
                </c:pt>
                <c:pt idx="8">
                  <c:v>0.77710462000000002</c:v>
                </c:pt>
                <c:pt idx="9">
                  <c:v>0.80009770000000002</c:v>
                </c:pt>
                <c:pt idx="10">
                  <c:v>0.86373036999999997</c:v>
                </c:pt>
                <c:pt idx="11">
                  <c:v>0.89691310999999996</c:v>
                </c:pt>
                <c:pt idx="12">
                  <c:v>0.95808011000000004</c:v>
                </c:pt>
                <c:pt idx="13">
                  <c:v>0.99395469999999997</c:v>
                </c:pt>
                <c:pt idx="14">
                  <c:v>1.0084169999999999</c:v>
                </c:pt>
                <c:pt idx="15">
                  <c:v>1.04294</c:v>
                </c:pt>
                <c:pt idx="16">
                  <c:v>1.09049</c:v>
                </c:pt>
                <c:pt idx="17">
                  <c:v>1.1090329999999999</c:v>
                </c:pt>
                <c:pt idx="18">
                  <c:v>1.167235</c:v>
                </c:pt>
                <c:pt idx="19">
                  <c:v>1.2073669</c:v>
                </c:pt>
                <c:pt idx="20">
                  <c:v>1.3447260000000001</c:v>
                </c:pt>
                <c:pt idx="21">
                  <c:v>1.345871</c:v>
                </c:pt>
                <c:pt idx="22">
                  <c:v>1.3738269999999999</c:v>
                </c:pt>
                <c:pt idx="23">
                  <c:v>1.4463649999999999</c:v>
                </c:pt>
                <c:pt idx="24">
                  <c:v>1.59243</c:v>
                </c:pt>
                <c:pt idx="25">
                  <c:v>1.637095</c:v>
                </c:pt>
                <c:pt idx="26">
                  <c:v>1.8174779000000001</c:v>
                </c:pt>
              </c:numCache>
              <c:extLst/>
            </c:numRef>
          </c:val>
          <c:extLst>
            <c:ext xmlns:c16="http://schemas.microsoft.com/office/drawing/2014/chart" uri="{C3380CC4-5D6E-409C-BE32-E72D297353CC}">
              <c16:uniqueId val="{00000008-6AA1-4F67-AC9E-313CF007CCE0}"/>
            </c:ext>
          </c:extLst>
        </c:ser>
        <c:dLbls>
          <c:showLegendKey val="0"/>
          <c:showVal val="0"/>
          <c:showCatName val="0"/>
          <c:showSerName val="0"/>
          <c:showPercent val="0"/>
          <c:showBubbleSize val="0"/>
        </c:dLbls>
        <c:gapWidth val="219"/>
        <c:overlap val="-27"/>
        <c:axId val="1494980976"/>
        <c:axId val="1400550752"/>
      </c:barChart>
      <c:catAx>
        <c:axId val="1494980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00550752"/>
        <c:crosses val="autoZero"/>
        <c:auto val="1"/>
        <c:lblAlgn val="ctr"/>
        <c:lblOffset val="100"/>
        <c:noMultiLvlLbl val="0"/>
      </c:catAx>
      <c:valAx>
        <c:axId val="140055075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949809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DP_LIVE_07112023124646091!$D$1</c:f>
              <c:strCache>
                <c:ptCount val="1"/>
                <c:pt idx="0">
                  <c:v>Flag Codes</c:v>
                </c:pt>
              </c:strCache>
            </c:strRef>
          </c:tx>
          <c:spPr>
            <a:solidFill>
              <a:schemeClr val="accent1"/>
            </a:solidFill>
            <a:ln>
              <a:noFill/>
            </a:ln>
            <a:effectLst/>
          </c:spPr>
          <c:invertIfNegative val="0"/>
          <c:dPt>
            <c:idx val="10"/>
            <c:invertIfNegative val="0"/>
            <c:bubble3D val="0"/>
            <c:spPr>
              <a:solidFill>
                <a:srgbClr val="00B050"/>
              </a:solidFill>
              <a:ln>
                <a:noFill/>
              </a:ln>
              <a:effectLst/>
            </c:spPr>
            <c:extLst>
              <c:ext xmlns:c16="http://schemas.microsoft.com/office/drawing/2014/chart" uri="{C3380CC4-5D6E-409C-BE32-E72D297353CC}">
                <c16:uniqueId val="{00000001-072F-43CD-A398-DEA4A04E89D3}"/>
              </c:ext>
            </c:extLst>
          </c:dPt>
          <c:dPt>
            <c:idx val="13"/>
            <c:invertIfNegative val="0"/>
            <c:bubble3D val="0"/>
            <c:spPr>
              <a:solidFill>
                <a:srgbClr val="C00000"/>
              </a:solidFill>
              <a:ln>
                <a:noFill/>
              </a:ln>
              <a:effectLst/>
            </c:spPr>
            <c:extLst>
              <c:ext xmlns:c16="http://schemas.microsoft.com/office/drawing/2014/chart" uri="{C3380CC4-5D6E-409C-BE32-E72D297353CC}">
                <c16:uniqueId val="{00000003-072F-43CD-A398-DEA4A04E89D3}"/>
              </c:ext>
            </c:extLst>
          </c:dPt>
          <c:dPt>
            <c:idx val="15"/>
            <c:invertIfNegative val="0"/>
            <c:bubble3D val="0"/>
            <c:spPr>
              <a:solidFill>
                <a:srgbClr val="7030A0"/>
              </a:solidFill>
              <a:ln>
                <a:noFill/>
              </a:ln>
              <a:effectLst/>
            </c:spPr>
            <c:extLst>
              <c:ext xmlns:c16="http://schemas.microsoft.com/office/drawing/2014/chart" uri="{C3380CC4-5D6E-409C-BE32-E72D297353CC}">
                <c16:uniqueId val="{00000005-072F-43CD-A398-DEA4A04E89D3}"/>
              </c:ext>
            </c:extLst>
          </c:dPt>
          <c:dPt>
            <c:idx val="25"/>
            <c:invertIfNegative val="0"/>
            <c:bubble3D val="0"/>
            <c:spPr>
              <a:solidFill>
                <a:srgbClr val="FFFF00"/>
              </a:solidFill>
              <a:ln>
                <a:noFill/>
              </a:ln>
              <a:effectLst/>
            </c:spPr>
            <c:extLst>
              <c:ext xmlns:c16="http://schemas.microsoft.com/office/drawing/2014/chart" uri="{C3380CC4-5D6E-409C-BE32-E72D297353CC}">
                <c16:uniqueId val="{00000007-072F-43CD-A398-DEA4A04E89D3}"/>
              </c:ext>
            </c:extLst>
          </c:dPt>
          <c:cat>
            <c:strRef>
              <c:f>DP_LIVE_07112023124646091!$A$3:$A$45</c:f>
              <c:strCache>
                <c:ptCount val="28"/>
                <c:pt idx="0">
                  <c:v>Rumānija</c:v>
                </c:pt>
                <c:pt idx="1">
                  <c:v>Itālija</c:v>
                </c:pt>
                <c:pt idx="2">
                  <c:v>Ungārija</c:v>
                </c:pt>
                <c:pt idx="3">
                  <c:v>Bulgārija</c:v>
                </c:pt>
                <c:pt idx="4">
                  <c:v>Čehija</c:v>
                </c:pt>
                <c:pt idx="5">
                  <c:v>Vācija</c:v>
                </c:pt>
                <c:pt idx="6">
                  <c:v>Slovākija</c:v>
                </c:pt>
                <c:pt idx="7">
                  <c:v>Polija</c:v>
                </c:pt>
                <c:pt idx="8">
                  <c:v>Somija</c:v>
                </c:pt>
                <c:pt idx="9">
                  <c:v>Austrija</c:v>
                </c:pt>
                <c:pt idx="10">
                  <c:v>Igaunija</c:v>
                </c:pt>
                <c:pt idx="11">
                  <c:v>Portugāle</c:v>
                </c:pt>
                <c:pt idx="12">
                  <c:v>Grieķija</c:v>
                </c:pt>
                <c:pt idx="13">
                  <c:v>Latvija</c:v>
                </c:pt>
                <c:pt idx="14">
                  <c:v>Slovēnija</c:v>
                </c:pt>
                <c:pt idx="15">
                  <c:v>Vidēji OECD</c:v>
                </c:pt>
                <c:pt idx="16">
                  <c:v>Dānija</c:v>
                </c:pt>
                <c:pt idx="17">
                  <c:v>Francija</c:v>
                </c:pt>
                <c:pt idx="18">
                  <c:v>Spānija</c:v>
                </c:pt>
                <c:pt idx="19">
                  <c:v>Šveice</c:v>
                </c:pt>
                <c:pt idx="20">
                  <c:v>Beļģija</c:v>
                </c:pt>
                <c:pt idx="21">
                  <c:v>Zviedrija</c:v>
                </c:pt>
                <c:pt idx="22">
                  <c:v>Nīderlande</c:v>
                </c:pt>
                <c:pt idx="23">
                  <c:v>Norvēģija</c:v>
                </c:pt>
                <c:pt idx="24">
                  <c:v>Apvienotā karaliste</c:v>
                </c:pt>
                <c:pt idx="25">
                  <c:v>Lietuva</c:v>
                </c:pt>
                <c:pt idx="26">
                  <c:v>Luksemugra</c:v>
                </c:pt>
                <c:pt idx="27">
                  <c:v>Īrija</c:v>
                </c:pt>
              </c:strCache>
            </c:strRef>
          </c:cat>
          <c:val>
            <c:numRef>
              <c:f>DP_LIVE_07112023124646091!$C$3:$C$45</c:f>
              <c:numCache>
                <c:formatCode>0</c:formatCode>
                <c:ptCount val="28"/>
                <c:pt idx="0">
                  <c:v>24.69556</c:v>
                </c:pt>
                <c:pt idx="1">
                  <c:v>29.203738999999999</c:v>
                </c:pt>
                <c:pt idx="2">
                  <c:v>31.901914999999999</c:v>
                </c:pt>
                <c:pt idx="3">
                  <c:v>33.827415000000002</c:v>
                </c:pt>
                <c:pt idx="4">
                  <c:v>34.620773</c:v>
                </c:pt>
                <c:pt idx="5">
                  <c:v>37.280796000000002</c:v>
                </c:pt>
                <c:pt idx="6">
                  <c:v>39.106579000000004</c:v>
                </c:pt>
                <c:pt idx="7">
                  <c:v>40.499668</c:v>
                </c:pt>
                <c:pt idx="8">
                  <c:v>40.761634999999998</c:v>
                </c:pt>
                <c:pt idx="9">
                  <c:v>43.081668999999998</c:v>
                </c:pt>
                <c:pt idx="10">
                  <c:v>43.907893999999999</c:v>
                </c:pt>
                <c:pt idx="11">
                  <c:v>44.435946999999999</c:v>
                </c:pt>
                <c:pt idx="12">
                  <c:v>45.237022000000003</c:v>
                </c:pt>
                <c:pt idx="13">
                  <c:v>45.876964999999998</c:v>
                </c:pt>
                <c:pt idx="14">
                  <c:v>47.295302999999997</c:v>
                </c:pt>
                <c:pt idx="15">
                  <c:v>47.416353999999998</c:v>
                </c:pt>
                <c:pt idx="16">
                  <c:v>49.010643000000002</c:v>
                </c:pt>
                <c:pt idx="17">
                  <c:v>50.389491999999997</c:v>
                </c:pt>
                <c:pt idx="18">
                  <c:v>50.514442000000003</c:v>
                </c:pt>
                <c:pt idx="19">
                  <c:v>51.264656000000002</c:v>
                </c:pt>
                <c:pt idx="20">
                  <c:v>51.361350999999999</c:v>
                </c:pt>
                <c:pt idx="21">
                  <c:v>52.304203000000001</c:v>
                </c:pt>
                <c:pt idx="22">
                  <c:v>56.420318999999999</c:v>
                </c:pt>
                <c:pt idx="23">
                  <c:v>56.427605</c:v>
                </c:pt>
                <c:pt idx="24">
                  <c:v>57.699050999999997</c:v>
                </c:pt>
                <c:pt idx="25">
                  <c:v>58.153095</c:v>
                </c:pt>
                <c:pt idx="26">
                  <c:v>60.034607000000001</c:v>
                </c:pt>
                <c:pt idx="27">
                  <c:v>63.269035000000002</c:v>
                </c:pt>
              </c:numCache>
            </c:numRef>
          </c:val>
          <c:extLst>
            <c:ext xmlns:c16="http://schemas.microsoft.com/office/drawing/2014/chart" uri="{C3380CC4-5D6E-409C-BE32-E72D297353CC}">
              <c16:uniqueId val="{00000008-072F-43CD-A398-DEA4A04E89D3}"/>
            </c:ext>
          </c:extLst>
        </c:ser>
        <c:dLbls>
          <c:showLegendKey val="0"/>
          <c:showVal val="0"/>
          <c:showCatName val="0"/>
          <c:showSerName val="0"/>
          <c:showPercent val="0"/>
          <c:showBubbleSize val="0"/>
        </c:dLbls>
        <c:gapWidth val="219"/>
        <c:overlap val="-27"/>
        <c:axId val="641636112"/>
        <c:axId val="655516960"/>
      </c:barChart>
      <c:catAx>
        <c:axId val="641636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55516960"/>
        <c:crosses val="autoZero"/>
        <c:auto val="1"/>
        <c:lblAlgn val="ctr"/>
        <c:lblOffset val="100"/>
        <c:noMultiLvlLbl val="0"/>
      </c:catAx>
      <c:valAx>
        <c:axId val="6555169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416361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7030A0"/>
            </a:solidFill>
            <a:ln>
              <a:noFill/>
            </a:ln>
            <a:effectLst/>
          </c:spPr>
          <c:invertIfNegative val="0"/>
          <c:dPt>
            <c:idx val="1"/>
            <c:invertIfNegative val="0"/>
            <c:bubble3D val="0"/>
            <c:spPr>
              <a:solidFill>
                <a:srgbClr val="7030A0"/>
              </a:solidFill>
              <a:ln>
                <a:noFill/>
              </a:ln>
              <a:effectLst/>
            </c:spPr>
            <c:extLst>
              <c:ext xmlns:c16="http://schemas.microsoft.com/office/drawing/2014/chart" uri="{C3380CC4-5D6E-409C-BE32-E72D297353CC}">
                <c16:uniqueId val="{00000001-6C68-4033-841A-E1FD0D5B35EE}"/>
              </c:ext>
            </c:extLst>
          </c:dPt>
          <c:dPt>
            <c:idx val="2"/>
            <c:invertIfNegative val="0"/>
            <c:bubble3D val="0"/>
            <c:spPr>
              <a:solidFill>
                <a:srgbClr val="7030A0"/>
              </a:solidFill>
              <a:ln>
                <a:noFill/>
              </a:ln>
              <a:effectLst/>
            </c:spPr>
            <c:extLst>
              <c:ext xmlns:c16="http://schemas.microsoft.com/office/drawing/2014/chart" uri="{C3380CC4-5D6E-409C-BE32-E72D297353CC}">
                <c16:uniqueId val="{00000003-6C68-4033-841A-E1FD0D5B35EE}"/>
              </c:ext>
            </c:extLst>
          </c:dPt>
          <c:dPt>
            <c:idx val="3"/>
            <c:invertIfNegative val="0"/>
            <c:bubble3D val="0"/>
            <c:spPr>
              <a:solidFill>
                <a:srgbClr val="7030A0"/>
              </a:solidFill>
              <a:ln>
                <a:noFill/>
              </a:ln>
              <a:effectLst/>
            </c:spPr>
            <c:extLst>
              <c:ext xmlns:c16="http://schemas.microsoft.com/office/drawing/2014/chart" uri="{C3380CC4-5D6E-409C-BE32-E72D297353CC}">
                <c16:uniqueId val="{00000005-6C68-4033-841A-E1FD0D5B35EE}"/>
              </c:ext>
            </c:extLst>
          </c:dPt>
          <c:cat>
            <c:strRef>
              <c:f>'[Indikatori.xlsx]Iedzīvotāju īpatsvars ar AI'!$A$6:$A$204</c:f>
              <c:strCache>
                <c:ptCount val="4"/>
                <c:pt idx="0">
                  <c:v>NLD</c:v>
                </c:pt>
                <c:pt idx="1">
                  <c:v>EST</c:v>
                </c:pt>
                <c:pt idx="2">
                  <c:v>LVA</c:v>
                </c:pt>
                <c:pt idx="3">
                  <c:v>FIN</c:v>
                </c:pt>
              </c:strCache>
            </c:strRef>
          </c:cat>
          <c:val>
            <c:numRef>
              <c:f>'[Indikatori.xlsx]Iedzīvotāju īpatsvars ar AI'!$G$6:$G$209</c:f>
              <c:numCache>
                <c:formatCode>General</c:formatCode>
                <c:ptCount val="4"/>
                <c:pt idx="0">
                  <c:v>47.603172000000001</c:v>
                </c:pt>
                <c:pt idx="1">
                  <c:v>43.633704999999999</c:v>
                </c:pt>
                <c:pt idx="2">
                  <c:v>41.648941000000001</c:v>
                </c:pt>
                <c:pt idx="3">
                  <c:v>41.313868999999997</c:v>
                </c:pt>
              </c:numCache>
            </c:numRef>
          </c:val>
          <c:extLst>
            <c:ext xmlns:c16="http://schemas.microsoft.com/office/drawing/2014/chart" uri="{C3380CC4-5D6E-409C-BE32-E72D297353CC}">
              <c16:uniqueId val="{00000006-6C68-4033-841A-E1FD0D5B35EE}"/>
            </c:ext>
          </c:extLst>
        </c:ser>
        <c:dLbls>
          <c:showLegendKey val="0"/>
          <c:showVal val="0"/>
          <c:showCatName val="0"/>
          <c:showSerName val="0"/>
          <c:showPercent val="0"/>
          <c:showBubbleSize val="0"/>
        </c:dLbls>
        <c:gapWidth val="219"/>
        <c:overlap val="-27"/>
        <c:axId val="366067600"/>
        <c:axId val="366071912"/>
      </c:barChart>
      <c:catAx>
        <c:axId val="366067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66071912"/>
        <c:crosses val="autoZero"/>
        <c:auto val="1"/>
        <c:lblAlgn val="ctr"/>
        <c:lblOffset val="100"/>
        <c:noMultiLvlLbl val="0"/>
      </c:catAx>
      <c:valAx>
        <c:axId val="366071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660676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774B0-4E85-45D9-ABC5-D097E27BFB17}">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76</Pages>
  <Words>18239</Words>
  <Characters>165237</Characters>
  <Application>Microsoft Office Word</Application>
  <DocSecurity>0</DocSecurity>
  <Lines>1376</Lines>
  <Paragraphs>366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Arkādijs Zvaigzne</dc:creator>
  <cp:keywords/>
  <dc:description/>
  <cp:lastModifiedBy>Aija Šurna</cp:lastModifiedBy>
  <cp:revision>3</cp:revision>
  <cp:lastPrinted>2023-10-10T07:38:00Z</cp:lastPrinted>
  <dcterms:created xsi:type="dcterms:W3CDTF">2024-06-13T11:07:00Z</dcterms:created>
  <dcterms:modified xsi:type="dcterms:W3CDTF">2024-06-13T11:10:00Z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57bdf9ce3e4cddc7cfbb5f5e5b296aad0fdc40844e5a02ebdc37ab6171dfccb2</vt:lpwstr>
  </property>
</Properties>
</file>