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87237" w:rsidR="00011443" w:rsidP="00B02582" w:rsidRDefault="00011443" w14:paraId="57D1884A" w14:textId="77777777">
      <w:pPr>
        <w:spacing w:after="120" w:line="276" w:lineRule="auto"/>
        <w:ind w:right="-180"/>
        <w:jc w:val="center"/>
        <w15:collapsed w:val="false"/>
        <w:rPr>
          <w:rFonts w:ascii="Times New Roman" w:hAnsi="Times New Roman"/>
          <w:b/>
          <w:color w:val="000000" w:themeColor="text1"/>
          <w:sz w:val="24"/>
          <w:szCs w:val="24"/>
        </w:rPr>
      </w:pPr>
      <w:bookmarkStart w:name="_GoBack" w:id="0"/>
      <w:bookmarkEnd w:id="0"/>
      <w:r w:rsidRPr="00987237">
        <w:rPr>
          <w:rFonts w:ascii="Times New Roman" w:hAnsi="Times New Roman"/>
          <w:b/>
          <w:color w:val="000000" w:themeColor="text1"/>
          <w:sz w:val="24"/>
          <w:szCs w:val="24"/>
        </w:rPr>
        <w:t>Informatīvais ziņojums</w:t>
      </w:r>
    </w:p>
    <w:p w:rsidRPr="00987237" w:rsidR="00011443" w:rsidP="00F3602A" w:rsidRDefault="00F3602A" w14:paraId="22441349" w14:textId="0C9DCAA9">
      <w:pPr>
        <w:ind w:right="-180"/>
        <w:jc w:val="center"/>
        <w:rPr>
          <w:rFonts w:ascii="Times New Roman" w:hAnsi="Times New Roman"/>
          <w:color w:val="000000" w:themeColor="text1"/>
          <w:sz w:val="24"/>
          <w:szCs w:val="24"/>
        </w:rPr>
      </w:pPr>
      <w:r w:rsidRPr="00F3602A">
        <w:rPr>
          <w:rFonts w:ascii="Times New Roman" w:hAnsi="Times New Roman"/>
          <w:b/>
          <w:color w:val="000000" w:themeColor="text1"/>
          <w:sz w:val="24"/>
          <w:szCs w:val="24"/>
        </w:rPr>
        <w:t>“</w:t>
      </w:r>
      <w:r w:rsidRPr="00135260" w:rsidR="00135260">
        <w:rPr>
          <w:rFonts w:ascii="Times New Roman" w:hAnsi="Times New Roman"/>
          <w:b/>
          <w:color w:val="000000" w:themeColor="text1"/>
          <w:sz w:val="24"/>
          <w:szCs w:val="24"/>
        </w:rPr>
        <w:t>Par Eiropas Komisijas paziņojumu par Sadarbības un pārbaudes mehānisma Bulgārijai un Rumānijai slēgšanu</w:t>
      </w:r>
      <w:r w:rsidRPr="00F3602A">
        <w:rPr>
          <w:rFonts w:ascii="Times New Roman" w:hAnsi="Times New Roman"/>
          <w:b/>
          <w:color w:val="000000" w:themeColor="text1"/>
          <w:sz w:val="24"/>
          <w:szCs w:val="24"/>
        </w:rPr>
        <w:t>”</w:t>
      </w:r>
    </w:p>
    <w:p w:rsidRPr="00B04FBB" w:rsidR="00B04FBB" w:rsidP="00B04FBB" w:rsidRDefault="00B04FBB" w14:paraId="1FE5BB61" w14:textId="77777777">
      <w:pPr>
        <w:pStyle w:val="CommentText"/>
        <w:suppressAutoHyphens/>
        <w:spacing w:after="120" w:line="276" w:lineRule="auto"/>
        <w:ind w:right="-180"/>
        <w:jc w:val="both"/>
        <w:rPr>
          <w:rFonts w:ascii="Times New Roman" w:hAnsi="Times New Roman"/>
          <w:color w:val="000000" w:themeColor="text1"/>
          <w:sz w:val="24"/>
          <w:szCs w:val="24"/>
        </w:rPr>
      </w:pPr>
      <w:r w:rsidRPr="00B04FBB">
        <w:rPr>
          <w:rFonts w:ascii="Times New Roman" w:hAnsi="Times New Roman"/>
          <w:color w:val="000000" w:themeColor="text1"/>
          <w:sz w:val="24"/>
          <w:szCs w:val="24"/>
        </w:rPr>
        <w:t xml:space="preserve">2023. gada 5. jūlijā Eiropas Komisija (EK) informēja, ka tā ir pieņēmusi lēmumu slēgt 2006. gadā izveidoto Sadarbības un pārbaudes mehānismu (CVM) Bulgārijai un Rumānijai. EK uzsver, ka mehānismu turpmāk aizstās 2020. gadā izveidotais ikgadējais Tiesiskuma cikls, kura ietvaros tiek aplūkotas visas ES dalībvalstis. </w:t>
      </w:r>
    </w:p>
    <w:p w:rsidRPr="00B04FBB" w:rsidR="00B04FBB" w:rsidP="00B04FBB" w:rsidRDefault="00B04FBB" w14:paraId="4B523AB3" w14:textId="77777777">
      <w:pPr>
        <w:pStyle w:val="CommentText"/>
        <w:suppressAutoHyphens/>
        <w:spacing w:after="120" w:line="276" w:lineRule="auto"/>
        <w:ind w:right="-180"/>
        <w:jc w:val="both"/>
        <w:rPr>
          <w:rFonts w:ascii="Times New Roman" w:hAnsi="Times New Roman"/>
          <w:color w:val="000000" w:themeColor="text1"/>
          <w:sz w:val="24"/>
          <w:szCs w:val="24"/>
        </w:rPr>
      </w:pPr>
      <w:r w:rsidRPr="00B04FBB">
        <w:rPr>
          <w:rFonts w:ascii="Times New Roman" w:hAnsi="Times New Roman"/>
          <w:color w:val="000000" w:themeColor="text1"/>
          <w:sz w:val="24"/>
          <w:szCs w:val="24"/>
        </w:rPr>
        <w:t>Kad Bulgārija un Rumānija 2007. gada 1. janvārī pievienojās ES, tām vēl bija nepieciešams veikt progresu tieslietu jomā, kā arī cīņā pret korupciju un (Bulgārijai) arī organizēto noziedzību. Lai palīdzētu pārvarēt identificētos trūkumus, EK 2006. gadā izveidoja CVM, kurā noteikti kritēriji progresa izvērtēšanai.</w:t>
      </w:r>
    </w:p>
    <w:p w:rsidRPr="00B04FBB" w:rsidR="00B04FBB" w:rsidP="00B04FBB" w:rsidRDefault="00B04FBB" w14:paraId="2CA2C34A" w14:textId="758FCBEC">
      <w:pPr>
        <w:pStyle w:val="CommentText"/>
        <w:suppressAutoHyphens/>
        <w:spacing w:after="120" w:line="276" w:lineRule="auto"/>
        <w:ind w:right="-180"/>
        <w:jc w:val="both"/>
        <w:rPr>
          <w:rFonts w:ascii="Times New Roman" w:hAnsi="Times New Roman"/>
          <w:color w:val="000000" w:themeColor="text1"/>
          <w:sz w:val="24"/>
          <w:szCs w:val="24"/>
        </w:rPr>
      </w:pPr>
      <w:r w:rsidRPr="00B04FBB">
        <w:rPr>
          <w:rFonts w:ascii="Times New Roman" w:hAnsi="Times New Roman"/>
          <w:color w:val="000000" w:themeColor="text1"/>
          <w:sz w:val="24"/>
          <w:szCs w:val="24"/>
        </w:rPr>
        <w:t xml:space="preserve">Kopš 2007. gada jūnija EK izdevusi regulārus ziņojumus par Bulgārijas </w:t>
      </w:r>
      <w:r w:rsidR="00066008">
        <w:rPr>
          <w:rFonts w:ascii="Times New Roman" w:hAnsi="Times New Roman"/>
          <w:color w:val="000000" w:themeColor="text1"/>
          <w:sz w:val="24"/>
          <w:szCs w:val="24"/>
        </w:rPr>
        <w:t xml:space="preserve">un Rumānijas </w:t>
      </w:r>
      <w:r w:rsidRPr="00B04FBB">
        <w:rPr>
          <w:rFonts w:ascii="Times New Roman" w:hAnsi="Times New Roman"/>
          <w:color w:val="000000" w:themeColor="text1"/>
          <w:sz w:val="24"/>
          <w:szCs w:val="24"/>
        </w:rPr>
        <w:t xml:space="preserve">progresu CVM ietvaros. Pēdējie ziņojumi izdoti </w:t>
      </w:r>
      <w:r w:rsidRPr="00455129" w:rsidR="00455129">
        <w:rPr>
          <w:rFonts w:ascii="Times New Roman" w:hAnsi="Times New Roman"/>
          <w:color w:val="000000" w:themeColor="text1"/>
          <w:sz w:val="24"/>
          <w:szCs w:val="24"/>
        </w:rPr>
        <w:t>2019. gada 22. oktobrī par Bulgārijas progresu un 2022. gada 22. novembrī par Rumānijas progresu.</w:t>
      </w:r>
    </w:p>
    <w:p w:rsidRPr="00B04FBB" w:rsidR="00B04FBB" w:rsidP="00B04FBB" w:rsidRDefault="00B04FBB" w14:paraId="7B2AB4B0" w14:textId="047261D3">
      <w:pPr>
        <w:pStyle w:val="CommentText"/>
        <w:suppressAutoHyphens/>
        <w:spacing w:after="120" w:line="276" w:lineRule="auto"/>
        <w:ind w:right="-180"/>
        <w:jc w:val="both"/>
        <w:rPr>
          <w:rFonts w:ascii="Times New Roman" w:hAnsi="Times New Roman"/>
          <w:color w:val="000000" w:themeColor="text1"/>
          <w:sz w:val="24"/>
          <w:szCs w:val="24"/>
        </w:rPr>
      </w:pPr>
      <w:r w:rsidRPr="00B04FBB">
        <w:rPr>
          <w:rFonts w:ascii="Times New Roman" w:hAnsi="Times New Roman"/>
          <w:color w:val="000000" w:themeColor="text1"/>
          <w:sz w:val="24"/>
          <w:szCs w:val="24"/>
        </w:rPr>
        <w:t xml:space="preserve">Šajos ziņojumos EK secināja, ka abu valstu progress saskaņā ar CVM ir pietiekams, un tās izpilda saistības, kuras uzņēmušās, iestājoties ES.  Vienlaikus EK bija arī norādījusi, ka </w:t>
      </w:r>
      <w:r w:rsidRPr="00066008" w:rsidR="00066008">
        <w:rPr>
          <w:rFonts w:ascii="Times New Roman" w:hAnsi="Times New Roman"/>
          <w:color w:val="000000" w:themeColor="text1"/>
          <w:sz w:val="24"/>
          <w:szCs w:val="24"/>
        </w:rPr>
        <w:t>gan Bulgārijai</w:t>
      </w:r>
      <w:r w:rsidR="00066008">
        <w:rPr>
          <w:rFonts w:ascii="Times New Roman" w:hAnsi="Times New Roman"/>
          <w:color w:val="000000" w:themeColor="text1"/>
          <w:sz w:val="24"/>
          <w:szCs w:val="24"/>
        </w:rPr>
        <w:t>,</w:t>
      </w:r>
      <w:r w:rsidRPr="00066008" w:rsidR="00066008">
        <w:rPr>
          <w:rFonts w:ascii="Times New Roman" w:hAnsi="Times New Roman"/>
          <w:color w:val="000000" w:themeColor="text1"/>
          <w:sz w:val="24"/>
          <w:szCs w:val="24"/>
        </w:rPr>
        <w:t xml:space="preserve"> </w:t>
      </w:r>
      <w:r w:rsidRPr="00B04FBB">
        <w:rPr>
          <w:rFonts w:ascii="Times New Roman" w:hAnsi="Times New Roman"/>
          <w:color w:val="000000" w:themeColor="text1"/>
          <w:sz w:val="24"/>
          <w:szCs w:val="24"/>
        </w:rPr>
        <w:t xml:space="preserve">gan Rumānijai būtu jāturpina strādāt pie noteiktu apņemšanos īstenošanas, kas minētas šo EK ziņojumu secinājumos. </w:t>
      </w:r>
    </w:p>
    <w:p w:rsidRPr="00B04FBB" w:rsidR="00B04FBB" w:rsidP="00B04FBB" w:rsidRDefault="00B04FBB" w14:paraId="3062B6BB" w14:textId="77777777">
      <w:pPr>
        <w:pStyle w:val="CommentText"/>
        <w:suppressAutoHyphens/>
        <w:spacing w:after="120" w:line="276" w:lineRule="auto"/>
        <w:ind w:right="-180"/>
        <w:jc w:val="both"/>
        <w:rPr>
          <w:rFonts w:ascii="Times New Roman" w:hAnsi="Times New Roman"/>
          <w:color w:val="000000" w:themeColor="text1"/>
          <w:sz w:val="24"/>
          <w:szCs w:val="24"/>
        </w:rPr>
      </w:pPr>
      <w:r w:rsidRPr="00B04FBB">
        <w:rPr>
          <w:rFonts w:ascii="Times New Roman" w:hAnsi="Times New Roman"/>
          <w:color w:val="000000" w:themeColor="text1"/>
          <w:sz w:val="24"/>
          <w:szCs w:val="24"/>
        </w:rPr>
        <w:t>Bulgārijai vēl bija jāievieš procedūras ģenerālprokurora kriminālatbildības nodrošināšanai, kā arī jāatceļ noteikumi Tieslietu sistēmas aktā par automātisku maģistrātu atcelšanu no amata kriminālizmeklēšanas gadījumos, kā arī prasību maģistrātiem ziņot par dalību profesionālās asociācijās. Tāpat Bulgārija apņēmās turpināt sadarbību ar Eiropas Padomes struktūrām Bulgārijas pretkorupcijas ietvara izveidei. Š.g. 27.jūnijā Bulgārijas premjerministrs informēja par Bulgārijas paveikto tiesiskuma jomā, t.sk. par veiktajiem pasākumiem minēto apņemšanos izpildē. Š.g. 26.maijā Bulgārija pieņēma un š.g. 6. jūnijā spēkā stājās likumdošana, kas paredz ģenerālprokurora kriminālatbildību. Līdz ar minētās likumdošanas pieņemšanu Bulgārija ir izpildījusi visas CVM ietvaros uzņemtās apņemšanās.</w:t>
      </w:r>
    </w:p>
    <w:p w:rsidR="00421FCC" w:rsidP="00B04FBB" w:rsidRDefault="00FC4935" w14:paraId="33C1869D" w14:textId="6CAC467A">
      <w:pPr>
        <w:pStyle w:val="CommentText"/>
        <w:suppressAutoHyphens/>
        <w:spacing w:after="120" w:line="276" w:lineRule="auto"/>
        <w:ind w:right="-18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Rumānijai </w:t>
      </w:r>
      <w:r w:rsidRPr="00B04FBB" w:rsidR="00B04FBB">
        <w:rPr>
          <w:rFonts w:ascii="Times New Roman" w:hAnsi="Times New Roman"/>
          <w:color w:val="000000" w:themeColor="text1"/>
          <w:sz w:val="24"/>
          <w:szCs w:val="24"/>
        </w:rPr>
        <w:t xml:space="preserve">bija jānodrošina sadarbība ar Venēcijas komisiju, jāpārskata kriminālkodekss, lai nodrošinātu saskaņotību ar Rumānijas Konstitucionālās tiesas kopš 2016.gada pieņemtajiem lēmumiem, kā arī jāuzlabo caurspīdība. </w:t>
      </w:r>
      <w:r w:rsidRPr="004C4094" w:rsidR="00B04FBB">
        <w:rPr>
          <w:rFonts w:ascii="Times New Roman" w:hAnsi="Times New Roman"/>
          <w:color w:val="000000" w:themeColor="text1"/>
          <w:sz w:val="24"/>
          <w:szCs w:val="24"/>
        </w:rPr>
        <w:t>Ekspertu grupa, ko izveidojusi Rumānijas Tieslietu ministrija, iesnie</w:t>
      </w:r>
      <w:r w:rsidR="00A85920">
        <w:rPr>
          <w:rFonts w:ascii="Times New Roman" w:hAnsi="Times New Roman"/>
          <w:color w:val="000000" w:themeColor="text1"/>
          <w:sz w:val="24"/>
          <w:szCs w:val="24"/>
        </w:rPr>
        <w:t>dza</w:t>
      </w:r>
      <w:r w:rsidRPr="004C4094" w:rsidR="00B04FBB">
        <w:rPr>
          <w:rFonts w:ascii="Times New Roman" w:hAnsi="Times New Roman"/>
          <w:color w:val="000000" w:themeColor="text1"/>
          <w:sz w:val="24"/>
          <w:szCs w:val="24"/>
        </w:rPr>
        <w:t xml:space="preserve"> neatkarīgu ziņojumu a</w:t>
      </w:r>
      <w:r w:rsidRPr="00B04FBB" w:rsidR="00B04FBB">
        <w:rPr>
          <w:rFonts w:ascii="Times New Roman" w:hAnsi="Times New Roman"/>
          <w:color w:val="000000" w:themeColor="text1"/>
          <w:sz w:val="24"/>
          <w:szCs w:val="24"/>
        </w:rPr>
        <w:t>r piedāvātajiem risinājumiem Rumānijas tiesu sistēmas turpmākai stiprināšanai saskaņā ar Venēcijas komisijas ieteikumiem. Attiecībā uz kriminālkodeksa pārskatīšanu un saskaņotību ar Rumānijas Konstitucionālās tiesas kopš 2016.gada pieņemtajiem lēmumiem, attiecīgie tiesību akti pieņemti Rumānijas parlamentā š.g. 28.jūnijā. Savukārt Rumānijas Augstākā tiesnešu padome sniedza ieguldījumu reformu īstenošanā, š.g. 3.aprīlī pieņemot paziņojumu par pārredzamības un atbildības principiem. Saskaņā ar EK vērtējumu, Rumānija ir izpildījusi visas apņemšanās.</w:t>
      </w:r>
    </w:p>
    <w:p w:rsidR="00710604" w:rsidP="00710604" w:rsidRDefault="00001AD0" w14:paraId="5F8868C2" w14:textId="278BB130">
      <w:pPr>
        <w:pStyle w:val="CommentText"/>
        <w:numPr>
          <w:ilvl w:val="0"/>
          <w:numId w:val="2"/>
        </w:numPr>
        <w:suppressAutoHyphens/>
        <w:spacing w:after="120" w:line="276" w:lineRule="auto"/>
        <w:ind w:right="-180"/>
        <w:jc w:val="both"/>
        <w:rPr>
          <w:rFonts w:ascii="Times New Roman" w:hAnsi="Times New Roman"/>
          <w:sz w:val="24"/>
          <w:szCs w:val="24"/>
        </w:rPr>
      </w:pPr>
      <w:r w:rsidRPr="00001AD0">
        <w:rPr>
          <w:rFonts w:ascii="Times New Roman" w:hAnsi="Times New Roman"/>
          <w:sz w:val="24"/>
          <w:szCs w:val="24"/>
        </w:rPr>
        <w:lastRenderedPageBreak/>
        <w:t xml:space="preserve">Latvija piekrīt Eiropas Komisijas vērtējumam un augstu novērtē </w:t>
      </w:r>
      <w:r w:rsidRPr="000F726A" w:rsidR="00E75633">
        <w:rPr>
          <w:rFonts w:ascii="Times New Roman" w:hAnsi="Times New Roman"/>
          <w:color w:val="000000" w:themeColor="text1"/>
          <w:sz w:val="24"/>
          <w:szCs w:val="24"/>
        </w:rPr>
        <w:t xml:space="preserve">Bulgārijas un Rumānijas </w:t>
      </w:r>
      <w:r w:rsidRPr="00001AD0">
        <w:rPr>
          <w:rFonts w:ascii="Times New Roman" w:hAnsi="Times New Roman"/>
          <w:sz w:val="24"/>
          <w:szCs w:val="24"/>
        </w:rPr>
        <w:t>īstenotās tiesu sistēmas reformas, panākto progresu cīņā pret korupciju un organizēto noziedzību, kā arī šo r</w:t>
      </w:r>
      <w:r>
        <w:rPr>
          <w:rFonts w:ascii="Times New Roman" w:hAnsi="Times New Roman"/>
          <w:sz w:val="24"/>
          <w:szCs w:val="24"/>
        </w:rPr>
        <w:t xml:space="preserve">eformu ilgtspējas veicināšanu. </w:t>
      </w:r>
    </w:p>
    <w:p w:rsidRPr="00001AD0" w:rsidR="00001AD0" w:rsidP="00710604" w:rsidRDefault="00001AD0" w14:paraId="17D0517F" w14:textId="2043E182">
      <w:pPr>
        <w:pStyle w:val="CommentText"/>
        <w:numPr>
          <w:ilvl w:val="0"/>
          <w:numId w:val="2"/>
        </w:numPr>
        <w:suppressAutoHyphens/>
        <w:spacing w:after="120" w:line="276" w:lineRule="auto"/>
        <w:ind w:right="-180"/>
        <w:jc w:val="both"/>
        <w:rPr>
          <w:rFonts w:ascii="Times New Roman" w:hAnsi="Times New Roman"/>
          <w:sz w:val="24"/>
          <w:szCs w:val="24"/>
        </w:rPr>
      </w:pPr>
      <w:r w:rsidRPr="00001AD0">
        <w:rPr>
          <w:rFonts w:ascii="Times New Roman" w:hAnsi="Times New Roman"/>
          <w:sz w:val="24"/>
          <w:szCs w:val="24"/>
        </w:rPr>
        <w:t xml:space="preserve">Ņemot vērā, ka Bulgārijas </w:t>
      </w:r>
      <w:r w:rsidR="00066008">
        <w:rPr>
          <w:rFonts w:ascii="Times New Roman" w:hAnsi="Times New Roman"/>
          <w:sz w:val="24"/>
          <w:szCs w:val="24"/>
        </w:rPr>
        <w:t xml:space="preserve">un Rumānijas </w:t>
      </w:r>
      <w:r w:rsidRPr="00001AD0">
        <w:rPr>
          <w:rFonts w:ascii="Times New Roman" w:hAnsi="Times New Roman"/>
          <w:sz w:val="24"/>
          <w:szCs w:val="24"/>
        </w:rPr>
        <w:t>progress saskaņā ar CVM ir atzīstams par pietiekamu un tās ir izpildījušas saistības, kuras uzņēmās, iestājoties ES, Latvija ir par iespējami drīzu Sadarbības un pārbaudes mehānisma atcelšanu, atbalstot turpmākas uzraudzības īstenošanu ikgadējā Tiesiskuma ziņojuma cikla ietvaros.</w:t>
      </w:r>
    </w:p>
    <w:p w:rsidR="00001AD0" w:rsidP="00B02582" w:rsidRDefault="00001AD0" w14:paraId="1EBF06B1" w14:textId="32D8252E">
      <w:pPr>
        <w:spacing w:after="120" w:line="276" w:lineRule="auto"/>
        <w:ind w:right="-720"/>
        <w:rPr>
          <w:rFonts w:ascii="Times New Roman" w:hAnsi="Times New Roman" w:eastAsia="Times New Roman"/>
          <w:bCs/>
          <w:sz w:val="24"/>
          <w:szCs w:val="24"/>
        </w:rPr>
      </w:pPr>
    </w:p>
    <w:p w:rsidR="00710604" w:rsidP="00B02582" w:rsidRDefault="00710604" w14:paraId="29172151" w14:textId="77777777">
      <w:pPr>
        <w:spacing w:after="120" w:line="276" w:lineRule="auto"/>
        <w:ind w:right="-720"/>
        <w:rPr>
          <w:rFonts w:ascii="Times New Roman" w:hAnsi="Times New Roman" w:eastAsia="Times New Roman"/>
          <w:bCs/>
          <w:sz w:val="24"/>
          <w:szCs w:val="24"/>
        </w:rPr>
      </w:pPr>
    </w:p>
    <w:p w:rsidRPr="003A3AFC" w:rsidR="003A3AFC" w:rsidP="003A3AFC" w:rsidRDefault="00B02582" w14:paraId="332C8BFD" w14:textId="7562B8AD">
      <w:pPr>
        <w:spacing w:after="120" w:line="276" w:lineRule="auto"/>
        <w:ind w:right="-720"/>
        <w:rPr>
          <w:rFonts w:ascii="Times New Roman" w:hAnsi="Times New Roman" w:eastAsia="Times New Roman"/>
          <w:bCs/>
          <w:sz w:val="24"/>
          <w:szCs w:val="24"/>
        </w:rPr>
      </w:pPr>
      <w:r w:rsidRPr="00FF5950">
        <w:rPr>
          <w:rFonts w:ascii="Times New Roman" w:hAnsi="Times New Roman" w:eastAsia="Times New Roman"/>
          <w:bCs/>
          <w:sz w:val="24"/>
          <w:szCs w:val="24"/>
        </w:rPr>
        <w:t xml:space="preserve">Iesniedzējs: </w:t>
      </w:r>
      <w:r w:rsidR="001E6F59">
        <w:rPr>
          <w:rFonts w:ascii="Times New Roman" w:hAnsi="Times New Roman" w:eastAsia="Times New Roman"/>
          <w:bCs/>
          <w:sz w:val="24"/>
          <w:szCs w:val="24"/>
        </w:rPr>
        <w:t>f</w:t>
      </w:r>
      <w:r w:rsidRPr="001E6F59" w:rsidR="001E6F59">
        <w:rPr>
          <w:rFonts w:ascii="Times New Roman" w:hAnsi="Times New Roman" w:eastAsia="Times New Roman"/>
          <w:bCs/>
          <w:sz w:val="24"/>
          <w:szCs w:val="24"/>
        </w:rPr>
        <w:t>inanšu ministrs</w:t>
      </w:r>
      <w:r w:rsidRPr="003A3AFC" w:rsidR="003A3AFC">
        <w:rPr>
          <w:rFonts w:ascii="Times New Roman" w:hAnsi="Times New Roman" w:eastAsia="Times New Roman"/>
          <w:bCs/>
          <w:sz w:val="24"/>
          <w:szCs w:val="24"/>
        </w:rPr>
        <w:t>,</w:t>
      </w:r>
    </w:p>
    <w:p w:rsidRPr="00FF5950" w:rsidR="00124DD5" w:rsidP="003A3AFC" w:rsidRDefault="003A3AFC" w14:paraId="117A28F8" w14:textId="513D0383">
      <w:pPr>
        <w:spacing w:after="120" w:line="276" w:lineRule="auto"/>
        <w:ind w:right="-720"/>
        <w:rPr>
          <w:rFonts w:ascii="Times New Roman" w:hAnsi="Times New Roman" w:eastAsia="Times New Roman"/>
          <w:bCs/>
          <w:sz w:val="24"/>
          <w:szCs w:val="24"/>
        </w:rPr>
      </w:pPr>
      <w:r w:rsidRPr="003A3AFC">
        <w:rPr>
          <w:rFonts w:ascii="Times New Roman" w:hAnsi="Times New Roman" w:eastAsia="Times New Roman"/>
          <w:bCs/>
          <w:sz w:val="24"/>
          <w:szCs w:val="24"/>
        </w:rPr>
        <w:t>ārlietu ministra pienākumu izpildītājs</w:t>
      </w:r>
      <w:r w:rsidRPr="00FF5950" w:rsidR="00B02582">
        <w:rPr>
          <w:rFonts w:ascii="Times New Roman" w:hAnsi="Times New Roman" w:eastAsia="Times New Roman"/>
          <w:bCs/>
          <w:sz w:val="24"/>
          <w:szCs w:val="24"/>
        </w:rPr>
        <w:tab/>
      </w:r>
      <w:r w:rsidRPr="00FF5950" w:rsidR="00B02582">
        <w:rPr>
          <w:rFonts w:ascii="Times New Roman" w:hAnsi="Times New Roman" w:eastAsia="Times New Roman"/>
          <w:bCs/>
          <w:sz w:val="24"/>
          <w:szCs w:val="24"/>
        </w:rPr>
        <w:tab/>
      </w:r>
      <w:r w:rsidRPr="00FF5950" w:rsidR="00B02582">
        <w:rPr>
          <w:rFonts w:ascii="Times New Roman" w:hAnsi="Times New Roman" w:eastAsia="Times New Roman"/>
          <w:bCs/>
          <w:sz w:val="24"/>
          <w:szCs w:val="24"/>
        </w:rPr>
        <w:tab/>
        <w:t xml:space="preserve">                      </w:t>
      </w:r>
      <w:r w:rsidRPr="00FF5950" w:rsidR="00B02582">
        <w:rPr>
          <w:rFonts w:ascii="Times New Roman" w:hAnsi="Times New Roman" w:eastAsia="Times New Roman"/>
          <w:bCs/>
          <w:sz w:val="24"/>
          <w:szCs w:val="24"/>
        </w:rPr>
        <w:tab/>
      </w:r>
      <w:r w:rsidRPr="00FF5950" w:rsidR="00B02582">
        <w:rPr>
          <w:rFonts w:ascii="Times New Roman" w:hAnsi="Times New Roman" w:eastAsia="Times New Roman"/>
          <w:bCs/>
          <w:sz w:val="24"/>
          <w:szCs w:val="24"/>
        </w:rPr>
        <w:tab/>
      </w:r>
      <w:r w:rsidRPr="004F738C" w:rsidR="004F738C">
        <w:rPr>
          <w:rFonts w:ascii="Times New Roman" w:hAnsi="Times New Roman" w:eastAsia="Times New Roman"/>
          <w:sz w:val="24"/>
          <w:szCs w:val="24"/>
        </w:rPr>
        <w:t>A</w:t>
      </w:r>
      <w:r w:rsidR="004F738C">
        <w:rPr>
          <w:rFonts w:ascii="Times New Roman" w:hAnsi="Times New Roman" w:eastAsia="Times New Roman"/>
          <w:sz w:val="24"/>
          <w:szCs w:val="24"/>
        </w:rPr>
        <w:t>.</w:t>
      </w:r>
      <w:r w:rsidRPr="004F738C" w:rsidR="004F738C">
        <w:rPr>
          <w:rFonts w:ascii="Times New Roman" w:hAnsi="Times New Roman" w:eastAsia="Times New Roman"/>
          <w:sz w:val="24"/>
          <w:szCs w:val="24"/>
        </w:rPr>
        <w:t xml:space="preserve"> </w:t>
      </w:r>
      <w:proofErr w:type="spellStart"/>
      <w:r w:rsidRPr="004F738C" w:rsidR="004F738C">
        <w:rPr>
          <w:rFonts w:ascii="Times New Roman" w:hAnsi="Times New Roman" w:eastAsia="Times New Roman"/>
          <w:sz w:val="24"/>
          <w:szCs w:val="24"/>
        </w:rPr>
        <w:t>Ašeradens</w:t>
      </w:r>
      <w:proofErr w:type="spellEnd"/>
      <w:r w:rsidRPr="00FF5950" w:rsidR="00B02582">
        <w:rPr>
          <w:rFonts w:ascii="Times New Roman" w:hAnsi="Times New Roman" w:eastAsia="Times New Roman"/>
          <w:bCs/>
          <w:sz w:val="24"/>
          <w:szCs w:val="24"/>
        </w:rPr>
        <w:tab/>
        <w:t xml:space="preserve">       </w:t>
      </w:r>
    </w:p>
    <w:p w:rsidR="00E06C74" w:rsidP="00B02582" w:rsidRDefault="00E06C74" w14:paraId="0094A700" w14:textId="77777777">
      <w:pPr>
        <w:spacing w:after="120" w:line="276" w:lineRule="auto"/>
        <w:ind w:right="-720"/>
        <w:rPr>
          <w:rFonts w:ascii="Times New Roman" w:hAnsi="Times New Roman" w:eastAsia="Times New Roman"/>
          <w:bCs/>
          <w:sz w:val="24"/>
          <w:szCs w:val="24"/>
        </w:rPr>
      </w:pPr>
    </w:p>
    <w:p w:rsidRPr="00FF5950" w:rsidR="00B02582" w:rsidP="00B02582" w:rsidRDefault="00B02582" w14:paraId="2EC3D57D" w14:textId="1039483B">
      <w:pPr>
        <w:spacing w:after="120" w:line="276" w:lineRule="auto"/>
        <w:ind w:right="-720"/>
        <w:rPr>
          <w:rFonts w:ascii="Times New Roman" w:hAnsi="Times New Roman" w:eastAsia="Times New Roman"/>
          <w:bCs/>
          <w:sz w:val="24"/>
          <w:szCs w:val="24"/>
        </w:rPr>
      </w:pPr>
      <w:r w:rsidRPr="00FF5950">
        <w:rPr>
          <w:rFonts w:ascii="Times New Roman" w:hAnsi="Times New Roman" w:eastAsia="Times New Roman"/>
          <w:bCs/>
          <w:sz w:val="24"/>
          <w:szCs w:val="24"/>
        </w:rPr>
        <w:t>Vīza: valsts sekretārs</w:t>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t xml:space="preserve">  </w:t>
      </w:r>
      <w:r w:rsidRPr="00FF5950">
        <w:rPr>
          <w:rFonts w:ascii="Times New Roman" w:hAnsi="Times New Roman" w:eastAsia="Times New Roman"/>
          <w:bCs/>
          <w:sz w:val="24"/>
          <w:szCs w:val="24"/>
        </w:rPr>
        <w:tab/>
      </w:r>
      <w:r w:rsidRPr="00FF5950">
        <w:rPr>
          <w:rFonts w:ascii="Times New Roman" w:hAnsi="Times New Roman" w:eastAsia="Times New Roman"/>
          <w:bCs/>
          <w:sz w:val="24"/>
          <w:szCs w:val="24"/>
        </w:rPr>
        <w:tab/>
        <w:t xml:space="preserve">               A</w:t>
      </w:r>
      <w:r w:rsidR="00E06C74">
        <w:rPr>
          <w:rFonts w:ascii="Times New Roman" w:hAnsi="Times New Roman" w:eastAsia="Times New Roman"/>
          <w:bCs/>
          <w:sz w:val="24"/>
          <w:szCs w:val="24"/>
        </w:rPr>
        <w:t>.</w:t>
      </w:r>
      <w:r w:rsidRPr="00FF5950">
        <w:rPr>
          <w:rFonts w:ascii="Times New Roman" w:hAnsi="Times New Roman" w:eastAsia="Times New Roman"/>
          <w:bCs/>
          <w:sz w:val="24"/>
          <w:szCs w:val="24"/>
        </w:rPr>
        <w:t xml:space="preserve"> Pelšs</w:t>
      </w:r>
    </w:p>
    <w:p w:rsidR="00124DD5" w:rsidP="00B02582" w:rsidRDefault="00124DD5" w14:paraId="578C3DBC" w14:textId="7D23231D">
      <w:pPr>
        <w:spacing w:after="120" w:line="276" w:lineRule="auto"/>
        <w:ind w:right="-720"/>
        <w:jc w:val="both"/>
        <w:rPr>
          <w:rFonts w:ascii="Times New Roman" w:hAnsi="Times New Roman"/>
          <w:i/>
          <w:sz w:val="24"/>
          <w:szCs w:val="24"/>
        </w:rPr>
      </w:pPr>
    </w:p>
    <w:p w:rsidR="00124DD5" w:rsidP="00B02582" w:rsidRDefault="00124DD5" w14:paraId="157D9411" w14:textId="5CC3A06B">
      <w:pPr>
        <w:spacing w:after="120" w:line="276" w:lineRule="auto"/>
        <w:ind w:right="-720"/>
        <w:jc w:val="both"/>
        <w:rPr>
          <w:rFonts w:ascii="Times New Roman" w:hAnsi="Times New Roman"/>
          <w:i/>
          <w:sz w:val="24"/>
          <w:szCs w:val="24"/>
        </w:rPr>
      </w:pPr>
    </w:p>
    <w:p w:rsidRPr="00FF5950" w:rsidR="00124DD5" w:rsidP="00B02582" w:rsidRDefault="00124DD5" w14:paraId="57EE143E" w14:textId="77777777">
      <w:pPr>
        <w:spacing w:after="120" w:line="276" w:lineRule="auto"/>
        <w:ind w:right="-720"/>
        <w:jc w:val="both"/>
        <w:rPr>
          <w:rFonts w:ascii="Times New Roman" w:hAnsi="Times New Roman"/>
          <w:i/>
          <w:sz w:val="24"/>
          <w:szCs w:val="24"/>
        </w:rPr>
      </w:pPr>
    </w:p>
    <w:p w:rsidRPr="00B02582" w:rsidR="00B02582" w:rsidP="00B02582" w:rsidRDefault="00B04FBB" w14:paraId="59890B43" w14:textId="1D8879CF">
      <w:pPr>
        <w:spacing w:after="0" w:line="276" w:lineRule="auto"/>
        <w:ind w:right="-720"/>
        <w:rPr>
          <w:rFonts w:ascii="Times New Roman" w:hAnsi="Times New Roman"/>
          <w:sz w:val="20"/>
          <w:szCs w:val="20"/>
        </w:rPr>
      </w:pPr>
      <w:proofErr w:type="spellStart"/>
      <w:r>
        <w:rPr>
          <w:rFonts w:ascii="Times New Roman" w:hAnsi="Times New Roman"/>
          <w:sz w:val="20"/>
          <w:szCs w:val="20"/>
        </w:rPr>
        <w:t>Ļ.Kočergina</w:t>
      </w:r>
      <w:proofErr w:type="spellEnd"/>
      <w:r>
        <w:rPr>
          <w:rFonts w:ascii="Times New Roman" w:hAnsi="Times New Roman"/>
          <w:sz w:val="20"/>
          <w:szCs w:val="20"/>
        </w:rPr>
        <w:t xml:space="preserve"> 67016238</w:t>
      </w:r>
    </w:p>
    <w:p w:rsidRPr="00135260" w:rsidR="00135260" w:rsidP="00135260" w:rsidRDefault="00135260" w14:paraId="53589831" w14:textId="77777777">
      <w:pPr>
        <w:spacing w:after="0" w:line="240" w:lineRule="auto"/>
        <w:rPr>
          <w:rFonts w:ascii="Times New Roman" w:hAnsi="Times New Roman" w:eastAsia="Times New Roman"/>
          <w:sz w:val="18"/>
          <w:szCs w:val="18"/>
        </w:rPr>
      </w:pPr>
      <w:r w:rsidRPr="00135260">
        <w:rPr>
          <w:rFonts w:ascii="Times New Roman" w:hAnsi="Times New Roman" w:eastAsia="Times New Roman"/>
          <w:sz w:val="18"/>
          <w:szCs w:val="18"/>
        </w:rPr>
        <w:t>Lubova.Kocergina@mfa.gov.lv</w:t>
      </w:r>
    </w:p>
    <w:p w:rsidRPr="008F401B" w:rsidR="00E57AA9" w:rsidP="008F401B" w:rsidRDefault="008F401B" w14:paraId="365AD9CC" w14:textId="5FB66B19">
      <w:pPr>
        <w:tabs>
          <w:tab w:val="left" w:pos="945"/>
        </w:tabs>
        <w:rPr>
          <w:rFonts w:ascii="Times New Roman" w:hAnsi="Times New Roman"/>
          <w:sz w:val="20"/>
          <w:szCs w:val="20"/>
        </w:rPr>
      </w:pPr>
      <w:r>
        <w:rPr>
          <w:rFonts w:ascii="Times New Roman" w:hAnsi="Times New Roman"/>
          <w:sz w:val="20"/>
          <w:szCs w:val="20"/>
        </w:rPr>
        <w:tab/>
      </w:r>
    </w:p>
    <w:sectPr w:rsidRPr="008F401B" w:rsidR="00E57AA9" w:rsidSect="00B02582">
      <w:footerReference w:type="default" r:id="rId7"/>
      <w:pgSz w:w="12240" w:h="15840"/>
      <w:pgMar w:top="1440" w:right="126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B9B80" w14:textId="77777777" w:rsidR="001F1D0E" w:rsidRDefault="001F1D0E" w:rsidP="00011443">
      <w:pPr>
        <w:spacing w:after="0" w:line="240" w:lineRule="auto"/>
      </w:pPr>
      <w:r>
        <w:separator/>
      </w:r>
    </w:p>
  </w:endnote>
  <w:endnote w:type="continuationSeparator" w:id="0">
    <w:p w14:paraId="6FF20A65" w14:textId="77777777" w:rsidR="001F1D0E" w:rsidRDefault="001F1D0E" w:rsidP="00011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0B0B" w14:textId="64F02C31" w:rsidR="00CF01CF" w:rsidRPr="00CF01CF" w:rsidRDefault="007B3FF5" w:rsidP="00CF01CF">
    <w:pPr>
      <w:spacing w:after="120" w:line="276" w:lineRule="auto"/>
      <w:ind w:right="-720"/>
      <w:jc w:val="both"/>
      <w:rPr>
        <w:rFonts w:ascii="Times New Roman" w:hAnsi="Times New Roman"/>
        <w:sz w:val="20"/>
        <w:szCs w:val="20"/>
      </w:rPr>
    </w:pPr>
    <w:r>
      <w:rPr>
        <w:rFonts w:ascii="Times New Roman" w:hAnsi="Times New Roman"/>
        <w:sz w:val="20"/>
        <w:szCs w:val="20"/>
      </w:rPr>
      <w:t>AMzino_</w:t>
    </w:r>
    <w:r w:rsidR="00894CA6">
      <w:rPr>
        <w:rFonts w:ascii="Times New Roman" w:hAnsi="Times New Roman"/>
        <w:sz w:val="20"/>
        <w:szCs w:val="20"/>
      </w:rPr>
      <w:t>01</w:t>
    </w:r>
    <w:r w:rsidR="00965807" w:rsidRPr="009D77BD">
      <w:rPr>
        <w:rFonts w:ascii="Times New Roman" w:hAnsi="Times New Roman"/>
        <w:sz w:val="20"/>
        <w:szCs w:val="20"/>
      </w:rPr>
      <w:t>0</w:t>
    </w:r>
    <w:r w:rsidR="00894CA6">
      <w:rPr>
        <w:rFonts w:ascii="Times New Roman" w:hAnsi="Times New Roman"/>
        <w:sz w:val="20"/>
        <w:szCs w:val="20"/>
      </w:rPr>
      <w:t>9</w:t>
    </w:r>
    <w:r w:rsidR="00170E45" w:rsidRPr="009D77BD">
      <w:rPr>
        <w:rFonts w:ascii="Times New Roman" w:hAnsi="Times New Roman"/>
        <w:sz w:val="20"/>
        <w:szCs w:val="20"/>
      </w:rPr>
      <w:t>2023</w:t>
    </w:r>
    <w:r w:rsidR="00CF01CF">
      <w:rPr>
        <w:rFonts w:ascii="Times New Roman" w:hAnsi="Times New Roman"/>
        <w:sz w:val="20"/>
        <w:szCs w:val="20"/>
      </w:rPr>
      <w:t xml:space="preserve">; Informatīvais ziņojums </w:t>
    </w:r>
    <w:r w:rsidR="00CF01CF" w:rsidRPr="000B47E2">
      <w:rPr>
        <w:rFonts w:ascii="Times New Roman" w:hAnsi="Times New Roman"/>
        <w:sz w:val="20"/>
        <w:szCs w:val="20"/>
      </w:rPr>
      <w:t>“</w:t>
    </w:r>
    <w:r w:rsidR="00170E45" w:rsidRPr="00170E45">
      <w:rPr>
        <w:rFonts w:ascii="Times New Roman" w:hAnsi="Times New Roman"/>
        <w:sz w:val="20"/>
        <w:szCs w:val="20"/>
      </w:rPr>
      <w:t>Par Eiropas Komisijas paziņojumu par Sadarbības un pārbaudes mehānisma Bulgārijai un Rumānijai slēgšanu</w:t>
    </w:r>
    <w:r w:rsidR="00CF01CF" w:rsidRPr="000B47E2">
      <w:rPr>
        <w:rFonts w:ascii="Times New Roman" w:hAnsi="Times New Roman"/>
        <w:sz w:val="20"/>
        <w:szCs w:val="20"/>
      </w:rPr>
      <w:t>”</w:t>
    </w:r>
  </w:p>
  <w:p w14:paraId="7CD4BE51" w14:textId="39C61AD5" w:rsidR="00011443" w:rsidRPr="005754BE" w:rsidRDefault="001F1D0E" w:rsidP="005754BE">
    <w:pPr>
      <w:pStyle w:val="Footer"/>
      <w:jc w:val="center"/>
      <w:rPr>
        <w:rFonts w:ascii="Times New Roman" w:hAnsi="Times New Roman"/>
      </w:rPr>
    </w:pPr>
    <w:sdt>
      <w:sdtPr>
        <w:rPr>
          <w:rFonts w:ascii="Times New Roman" w:hAnsi="Times New Roman"/>
        </w:rPr>
        <w:id w:val="-943378494"/>
        <w:docPartObj>
          <w:docPartGallery w:val="Page Numbers (Bottom of Page)"/>
          <w:docPartUnique/>
        </w:docPartObj>
      </w:sdtPr>
      <w:sdtEndPr>
        <w:rPr>
          <w:noProof/>
        </w:rPr>
      </w:sdtEndPr>
      <w:sdtContent>
        <w:r w:rsidR="00CF01CF" w:rsidRPr="005754BE">
          <w:rPr>
            <w:rFonts w:ascii="Times New Roman" w:hAnsi="Times New Roman"/>
          </w:rPr>
          <w:fldChar w:fldCharType="begin"/>
        </w:r>
        <w:r w:rsidR="00CF01CF" w:rsidRPr="005754BE">
          <w:rPr>
            <w:rFonts w:ascii="Times New Roman" w:hAnsi="Times New Roman"/>
          </w:rPr>
          <w:instrText xml:space="preserve"> PAGE   \* MERGEFORMAT </w:instrText>
        </w:r>
        <w:r w:rsidR="00CF01CF" w:rsidRPr="005754BE">
          <w:rPr>
            <w:rFonts w:ascii="Times New Roman" w:hAnsi="Times New Roman"/>
          </w:rPr>
          <w:fldChar w:fldCharType="separate"/>
        </w:r>
        <w:r w:rsidR="0051161E">
          <w:rPr>
            <w:rFonts w:ascii="Times New Roman" w:hAnsi="Times New Roman"/>
            <w:noProof/>
          </w:rPr>
          <w:t>2</w:t>
        </w:r>
        <w:r w:rsidR="00CF01CF" w:rsidRPr="005754BE">
          <w:rPr>
            <w:rFonts w:ascii="Times New Roman" w:hAnsi="Times New Roman"/>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B26AB" w14:textId="77777777" w:rsidR="001F1D0E" w:rsidRDefault="001F1D0E" w:rsidP="00011443">
      <w:pPr>
        <w:spacing w:after="0" w:line="240" w:lineRule="auto"/>
      </w:pPr>
      <w:r>
        <w:separator/>
      </w:r>
    </w:p>
  </w:footnote>
  <w:footnote w:type="continuationSeparator" w:id="0">
    <w:p w14:paraId="0F505F16" w14:textId="77777777" w:rsidR="001F1D0E" w:rsidRDefault="001F1D0E" w:rsidP="00011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23593"/>
    <w:multiLevelType w:val="hybridMultilevel"/>
    <w:tmpl w:val="F1167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379698C"/>
    <w:multiLevelType w:val="hybridMultilevel"/>
    <w:tmpl w:val="2ED4FCA6"/>
    <w:lvl w:ilvl="0" w:tplc="333C0BFE">
      <w:start w:val="1"/>
      <w:numFmt w:val="bullet"/>
      <w:lvlText w:val=""/>
      <w:lvlJc w:val="left"/>
      <w:pPr>
        <w:ind w:left="705" w:hanging="360"/>
      </w:pPr>
      <w:rPr>
        <w:rFonts w:ascii="Symbol" w:hAnsi="Symbol" w:hint="default"/>
        <w:color w:val="auto"/>
      </w:rPr>
    </w:lvl>
    <w:lvl w:ilvl="1" w:tplc="04260003" w:tentative="1">
      <w:start w:val="1"/>
      <w:numFmt w:val="bullet"/>
      <w:lvlText w:val="o"/>
      <w:lvlJc w:val="left"/>
      <w:pPr>
        <w:ind w:left="1425" w:hanging="360"/>
      </w:pPr>
      <w:rPr>
        <w:rFonts w:ascii="Courier New" w:hAnsi="Courier New" w:cs="Courier New" w:hint="default"/>
      </w:rPr>
    </w:lvl>
    <w:lvl w:ilvl="2" w:tplc="04260005" w:tentative="1">
      <w:start w:val="1"/>
      <w:numFmt w:val="bullet"/>
      <w:lvlText w:val=""/>
      <w:lvlJc w:val="left"/>
      <w:pPr>
        <w:ind w:left="2145" w:hanging="360"/>
      </w:pPr>
      <w:rPr>
        <w:rFonts w:ascii="Wingdings" w:hAnsi="Wingdings" w:hint="default"/>
      </w:rPr>
    </w:lvl>
    <w:lvl w:ilvl="3" w:tplc="04260001" w:tentative="1">
      <w:start w:val="1"/>
      <w:numFmt w:val="bullet"/>
      <w:lvlText w:val=""/>
      <w:lvlJc w:val="left"/>
      <w:pPr>
        <w:ind w:left="2865" w:hanging="360"/>
      </w:pPr>
      <w:rPr>
        <w:rFonts w:ascii="Symbol" w:hAnsi="Symbol" w:hint="default"/>
      </w:rPr>
    </w:lvl>
    <w:lvl w:ilvl="4" w:tplc="04260003" w:tentative="1">
      <w:start w:val="1"/>
      <w:numFmt w:val="bullet"/>
      <w:lvlText w:val="o"/>
      <w:lvlJc w:val="left"/>
      <w:pPr>
        <w:ind w:left="3585" w:hanging="360"/>
      </w:pPr>
      <w:rPr>
        <w:rFonts w:ascii="Courier New" w:hAnsi="Courier New" w:cs="Courier New" w:hint="default"/>
      </w:rPr>
    </w:lvl>
    <w:lvl w:ilvl="5" w:tplc="04260005" w:tentative="1">
      <w:start w:val="1"/>
      <w:numFmt w:val="bullet"/>
      <w:lvlText w:val=""/>
      <w:lvlJc w:val="left"/>
      <w:pPr>
        <w:ind w:left="4305" w:hanging="360"/>
      </w:pPr>
      <w:rPr>
        <w:rFonts w:ascii="Wingdings" w:hAnsi="Wingdings" w:hint="default"/>
      </w:rPr>
    </w:lvl>
    <w:lvl w:ilvl="6" w:tplc="04260001" w:tentative="1">
      <w:start w:val="1"/>
      <w:numFmt w:val="bullet"/>
      <w:lvlText w:val=""/>
      <w:lvlJc w:val="left"/>
      <w:pPr>
        <w:ind w:left="5025" w:hanging="360"/>
      </w:pPr>
      <w:rPr>
        <w:rFonts w:ascii="Symbol" w:hAnsi="Symbol" w:hint="default"/>
      </w:rPr>
    </w:lvl>
    <w:lvl w:ilvl="7" w:tplc="04260003" w:tentative="1">
      <w:start w:val="1"/>
      <w:numFmt w:val="bullet"/>
      <w:lvlText w:val="o"/>
      <w:lvlJc w:val="left"/>
      <w:pPr>
        <w:ind w:left="5745" w:hanging="360"/>
      </w:pPr>
      <w:rPr>
        <w:rFonts w:ascii="Courier New" w:hAnsi="Courier New" w:cs="Courier New" w:hint="default"/>
      </w:rPr>
    </w:lvl>
    <w:lvl w:ilvl="8" w:tplc="04260005" w:tentative="1">
      <w:start w:val="1"/>
      <w:numFmt w:val="bullet"/>
      <w:lvlText w:val=""/>
      <w:lvlJc w:val="left"/>
      <w:pPr>
        <w:ind w:left="64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445"/>
    <w:rsid w:val="00001AD0"/>
    <w:rsid w:val="00011443"/>
    <w:rsid w:val="00066008"/>
    <w:rsid w:val="0009165B"/>
    <w:rsid w:val="000D5725"/>
    <w:rsid w:val="000F726A"/>
    <w:rsid w:val="00124DD5"/>
    <w:rsid w:val="00135260"/>
    <w:rsid w:val="00170E45"/>
    <w:rsid w:val="001E6F59"/>
    <w:rsid w:val="001F1D0E"/>
    <w:rsid w:val="00311112"/>
    <w:rsid w:val="003A3AFC"/>
    <w:rsid w:val="00421FCC"/>
    <w:rsid w:val="00455129"/>
    <w:rsid w:val="00475A2F"/>
    <w:rsid w:val="004B1C5D"/>
    <w:rsid w:val="004C4094"/>
    <w:rsid w:val="004F738C"/>
    <w:rsid w:val="0051161E"/>
    <w:rsid w:val="00543C9B"/>
    <w:rsid w:val="00561519"/>
    <w:rsid w:val="005726A3"/>
    <w:rsid w:val="005754BE"/>
    <w:rsid w:val="00611D03"/>
    <w:rsid w:val="00652327"/>
    <w:rsid w:val="00675C34"/>
    <w:rsid w:val="006F13AE"/>
    <w:rsid w:val="00710604"/>
    <w:rsid w:val="00756EEC"/>
    <w:rsid w:val="007B3FF5"/>
    <w:rsid w:val="008047FC"/>
    <w:rsid w:val="00815ABD"/>
    <w:rsid w:val="008443A6"/>
    <w:rsid w:val="00892343"/>
    <w:rsid w:val="00894CA6"/>
    <w:rsid w:val="00894E3C"/>
    <w:rsid w:val="008F401B"/>
    <w:rsid w:val="00960062"/>
    <w:rsid w:val="00965807"/>
    <w:rsid w:val="00982F2A"/>
    <w:rsid w:val="00987237"/>
    <w:rsid w:val="009A45BB"/>
    <w:rsid w:val="009C491C"/>
    <w:rsid w:val="009C5AB3"/>
    <w:rsid w:val="009D77BD"/>
    <w:rsid w:val="00A104EC"/>
    <w:rsid w:val="00A175E9"/>
    <w:rsid w:val="00A4704A"/>
    <w:rsid w:val="00A7154A"/>
    <w:rsid w:val="00A85920"/>
    <w:rsid w:val="00AC71ED"/>
    <w:rsid w:val="00AD4AB0"/>
    <w:rsid w:val="00B02582"/>
    <w:rsid w:val="00B04FBB"/>
    <w:rsid w:val="00B1569C"/>
    <w:rsid w:val="00B76445"/>
    <w:rsid w:val="00B83BA2"/>
    <w:rsid w:val="00C66CD2"/>
    <w:rsid w:val="00C72DDF"/>
    <w:rsid w:val="00C81FCA"/>
    <w:rsid w:val="00CF01CF"/>
    <w:rsid w:val="00DA052B"/>
    <w:rsid w:val="00DF7F78"/>
    <w:rsid w:val="00E06C74"/>
    <w:rsid w:val="00E42BD2"/>
    <w:rsid w:val="00E5634C"/>
    <w:rsid w:val="00E57AA9"/>
    <w:rsid w:val="00E65452"/>
    <w:rsid w:val="00E75633"/>
    <w:rsid w:val="00E93C4D"/>
    <w:rsid w:val="00F3602A"/>
    <w:rsid w:val="00F42CF7"/>
    <w:rsid w:val="00F96DAB"/>
    <w:rsid w:val="00FC4935"/>
    <w:rsid w:val="00FE698F"/>
    <w:rsid w:val="00FF0CCC"/>
    <w:rsid w:val="00FF68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443"/>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4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1443"/>
    <w:rPr>
      <w:rFonts w:ascii="Calibri" w:eastAsia="Calibri" w:hAnsi="Calibri" w:cs="Times New Roman"/>
    </w:rPr>
  </w:style>
  <w:style w:type="paragraph" w:styleId="Footer">
    <w:name w:val="footer"/>
    <w:basedOn w:val="Normal"/>
    <w:link w:val="FooterChar"/>
    <w:uiPriority w:val="99"/>
    <w:unhideWhenUsed/>
    <w:rsid w:val="000114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1443"/>
    <w:rPr>
      <w:rFonts w:ascii="Calibri" w:eastAsia="Calibri" w:hAnsi="Calibri" w:cs="Times New Roman"/>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A7154A"/>
    <w:pPr>
      <w:spacing w:after="0" w:line="240" w:lineRule="auto"/>
      <w:ind w:left="720"/>
      <w:contextualSpacing/>
    </w:pPr>
    <w:rPr>
      <w:rFonts w:ascii="Times New Roman" w:eastAsia="Times New Roman" w:hAnsi="Times New Roman"/>
      <w:sz w:val="24"/>
      <w:szCs w:val="24"/>
      <w:lang w:val="en-GB"/>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A7154A"/>
    <w:rPr>
      <w:rFonts w:ascii="Times New Roman" w:eastAsia="Times New Roman" w:hAnsi="Times New Roman" w:cs="Times New Roman"/>
      <w:sz w:val="24"/>
      <w:szCs w:val="24"/>
      <w:lang w:val="en-GB"/>
    </w:rPr>
  </w:style>
  <w:style w:type="paragraph" w:customStyle="1" w:styleId="Default">
    <w:name w:val="Default"/>
    <w:rsid w:val="00A104EC"/>
    <w:pPr>
      <w:autoSpaceDE w:val="0"/>
      <w:autoSpaceDN w:val="0"/>
      <w:adjustRightInd w:val="0"/>
      <w:spacing w:after="0" w:line="240" w:lineRule="auto"/>
    </w:pPr>
    <w:rPr>
      <w:rFonts w:ascii="EC Square Sans Pro" w:hAnsi="EC Square Sans Pro" w:cs="EC Square Sans Pro"/>
      <w:color w:val="000000"/>
      <w:sz w:val="24"/>
      <w:szCs w:val="24"/>
    </w:rPr>
  </w:style>
  <w:style w:type="character" w:styleId="CommentReference">
    <w:name w:val="annotation reference"/>
    <w:basedOn w:val="DefaultParagraphFont"/>
    <w:uiPriority w:val="99"/>
    <w:semiHidden/>
    <w:unhideWhenUsed/>
    <w:rsid w:val="00543C9B"/>
    <w:rPr>
      <w:sz w:val="16"/>
      <w:szCs w:val="16"/>
    </w:rPr>
  </w:style>
  <w:style w:type="paragraph" w:styleId="CommentText">
    <w:name w:val="annotation text"/>
    <w:basedOn w:val="Normal"/>
    <w:link w:val="CommentTextChar"/>
    <w:uiPriority w:val="99"/>
    <w:unhideWhenUsed/>
    <w:rsid w:val="00543C9B"/>
    <w:pPr>
      <w:spacing w:line="240" w:lineRule="auto"/>
    </w:pPr>
    <w:rPr>
      <w:sz w:val="20"/>
      <w:szCs w:val="20"/>
    </w:rPr>
  </w:style>
  <w:style w:type="character" w:customStyle="1" w:styleId="CommentTextChar">
    <w:name w:val="Comment Text Char"/>
    <w:basedOn w:val="DefaultParagraphFont"/>
    <w:link w:val="CommentText"/>
    <w:uiPriority w:val="99"/>
    <w:rsid w:val="00543C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3C9B"/>
    <w:rPr>
      <w:b/>
      <w:bCs/>
    </w:rPr>
  </w:style>
  <w:style w:type="character" w:customStyle="1" w:styleId="CommentSubjectChar">
    <w:name w:val="Comment Subject Char"/>
    <w:basedOn w:val="CommentTextChar"/>
    <w:link w:val="CommentSubject"/>
    <w:uiPriority w:val="99"/>
    <w:semiHidden/>
    <w:rsid w:val="00543C9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43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C9B"/>
    <w:rPr>
      <w:rFonts w:ascii="Segoe UI" w:eastAsia="Calibri" w:hAnsi="Segoe UI" w:cs="Segoe UI"/>
      <w:sz w:val="18"/>
      <w:szCs w:val="18"/>
    </w:rPr>
  </w:style>
  <w:style w:type="character" w:styleId="Hyperlink">
    <w:name w:val="Hyperlink"/>
    <w:uiPriority w:val="99"/>
    <w:semiHidden/>
    <w:unhideWhenUsed/>
    <w:rsid w:val="00B025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 Target="theme/theme1.xml" Type="http://schemas.openxmlformats.org/officeDocument/2006/relationships/them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2376</Words>
  <Characters>1355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Kaleja</dc:creator>
  <cp:keywords/>
  <dc:description/>
  <cp:lastModifiedBy>Aija Veja</cp:lastModifiedBy>
  <cp:revision>2</cp:revision>
  <cp:lastPrinted>2023-07-31T08:13:00Z</cp:lastPrinted>
  <dcterms:created xsi:type="dcterms:W3CDTF">2023-09-08T08:24:00Z</dcterms:created>
  <dcterms:modified xsi:type="dcterms:W3CDTF">2023-09-08T08:24:00Z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Trešais sekretārs Ļubova Kočergina</vt:lpwstr>
  </property>
  <property fmtid="{D5CDD505-2E9C-101B-9397-08002B2CF9AE}" pid="3" name="DIScgiUrl">
    <vt:lpwstr>https://lim.esvis.gov.lv/cs/idcplg</vt:lpwstr>
  </property>
  <property fmtid="{D5CDD505-2E9C-101B-9397-08002B2CF9AE}" pid="4" name="DISdDocName">
    <vt:lpwstr>L413715</vt:lpwstr>
  </property>
  <property fmtid="{D5CDD505-2E9C-101B-9397-08002B2CF9AE}" pid="5" name="DISCesvisAdditionalTutors">
    <vt:lpwstr>Vecākā referente Aija Vēja, Padomniece Diāna Putniņa</vt:lpwstr>
  </property>
  <property fmtid="{D5CDD505-2E9C-101B-9397-08002B2CF9AE}" pid="6" name="DISCesvisSigner">
    <vt:lpwstr>Ministrs Arvils Ašeradens</vt:lpwstr>
  </property>
  <property fmtid="{D5CDD505-2E9C-101B-9397-08002B2CF9AE}" pid="7" name="DISTaskPaneUrl">
    <vt:lpwstr>https://lim.esvis.gov.lv/cs/idcplg?ClientControlled=DocMan&amp;coreContentOnly=1&amp;WebdavRequest=1&amp;IdcService=DOC_INFO&amp;dID=498858</vt:lpwstr>
  </property>
  <property fmtid="{D5CDD505-2E9C-101B-9397-08002B2CF9AE}" pid="8" name="DISCesvisSafetyLevel">
    <vt:lpwstr>Vispārpieejams</vt:lpwstr>
  </property>
  <property fmtid="{D5CDD505-2E9C-101B-9397-08002B2CF9AE}" pid="9" name="DISCesvisTitle">
    <vt:lpwstr>Par Eiropas Komisijas paziņojumu par Sadarbības un pārbaudes mehānisma Bulgārijai un Rumānijai slēgšanu”
</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Trešais sekretārs Ļubova Kočergina</vt:lpwstr>
  </property>
  <property fmtid="{D5CDD505-2E9C-101B-9397-08002B2CF9AE}" pid="13" name="DISCesvisAdditionalTutorsMail">
    <vt:lpwstr>aija.veja@mfa.gov.lv, diana.putnina@mfa.gov.lv</vt:lpwstr>
  </property>
  <property fmtid="{D5CDD505-2E9C-101B-9397-08002B2CF9AE}" pid="14" name="DISidcName">
    <vt:lpwstr>1020404016200</vt:lpwstr>
  </property>
  <property fmtid="{D5CDD505-2E9C-101B-9397-08002B2CF9AE}" pid="15"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6" name="DISCesvisAdditionalMakersMail">
    <vt:lpwstr>lubova.kocergina@mfa.gov.lv</vt:lpwstr>
  </property>
  <property fmtid="{D5CDD505-2E9C-101B-9397-08002B2CF9AE}" pid="17" name="DISdUser">
    <vt:lpwstr>weblogic</vt:lpwstr>
  </property>
  <property fmtid="{D5CDD505-2E9C-101B-9397-08002B2CF9AE}" pid="18" name="DISCesvisOrgApprovers">
    <vt:lpwstr>Iekšlietu ministrija, Tieslietu ministrija</vt:lpwstr>
  </property>
  <property fmtid="{D5CDD505-2E9C-101B-9397-08002B2CF9AE}" pid="19" name="DISdID">
    <vt:lpwstr>498858</vt:lpwstr>
  </property>
  <property fmtid="{D5CDD505-2E9C-101B-9397-08002B2CF9AE}" pid="20" name="DISCesvisMainMakerOrgUnitTitle">
    <vt:lpwstr>Centrālā un Dienvideiropas valstu nodaļa</vt:lpwstr>
  </property>
  <property fmtid="{D5CDD505-2E9C-101B-9397-08002B2CF9AE}" pid="21" name="DISCesvisAdditionalMakersPhone">
    <vt:lpwstr>+37167016238</vt:lpwstr>
  </property>
  <property fmtid="{D5CDD505-2E9C-101B-9397-08002B2CF9AE}" pid="22" name="DISCesvisAdditionalTutorsPhone">
    <vt:lpwstr>67016487, 67016209</vt:lpwstr>
  </property>
</Properties>
</file>