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Ministrijas integrē klimata politikas mērķus savos politikas plānošanas dokumentos, nodrošinot saskaņotu valsts klimata mērķu sasniegšanu. Izstrādājot politikas plānošanas dokumentu un normatīvo aktu projektus, politikas plānošanas dokumenta projektā vai normatīvā akta projekta sākotnējās ietekmes novērtējuma ziņojumā (anotācijā) izvērtē tā ietekmi uz klimata mērķu sasniegšanu, tai skaitā norādot rezultatīvos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likumprojekta 2.panta trešās daļas redakcijai, ņemot vērā, ka ne katrs politikas plānošanas dokumenta vai un normatīvā akta projekts būs attiecināms uz klimata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iekšlietu nozares politikas plānošanas dokumentos (piemēram, Organizētās noziedzības novēršanas un apkarošanas plāns, Bērnu noziedzības novēršanas un bērnu aizsardzības pret noziedzīgiem nodarījumiem plāns, Cilvēku tirdzniecības novēršanas plāns u.c.) integrēt klimata politikas mērķus un noteikt attiecīgus rezultatīvos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23.05.2025.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23.05.2025.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