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25. oktobra noteikumos Nr. 691 "Noteikumi par patērētāja kreditēšanu"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4.2. sadaļu ar likumprojekta "Grozījumi Patērētāju tiesību aizsardzības likumā" (24-TA-3045)  un Ministru kabineta noteikumu projekta “Grozījumi Ministru kabineta 2016. gada 13. decembra noteikumos Nr. 772 "Kredīta starpnieku un kredīta starpnieku pārstāvju reģistrācijas noteikumi"” (25-TA-316) galvenajiem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15. punktam, aicinām aizpildīt anotācijas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atlikto maksājumu pakalpojums - kredīts par preču vai pakalpojumu iegādi atlikta maksājuma, aizdevuma vai citas tamlīdzīgas finansiālas vienošanās veidā, ko  piešķir ražotājs, pārdevējs vai pakalpojuma sniedzējs, lai patērētājs norēķinātos par viņa preču, pakalpojumu, digitālā satura vai digitālo pakalpojumu iegādi un saskaņā ar kuru kredīts tiek piešķirts bez cita kredīta devēja piesaistīšanas, nemaksājot procentu likmi un citus papildu maksājumus, izņemot ierobežotas maksas par maksājumu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3.3. apakšpunktam normatīvā akta projektā neietver normas, kas dublē augstāka vai tāda paša spēka normatīvā akta tiesību normās ietverto normatīvo regulējumu. Aicinām izvērtēt, vai netiek dublēts likumprojekta "Grozījumi Patērētāju tiesību aizsardzības likumā" (24-TA-3045) 1. panta 23. punktā ietvertais termins "atlikto maksājumu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kreditēšanas līguma darbības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nepieciešams  grozīt "kreditēšanas līguma darbības ilgumu",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preci vai pakalpojumu un tā cenu, ja saskaņā ar kreditēšanas līgumu paredzēts piešķirt aizdevumu atlikta maksājuma veidā par konkrētu preci vai pakalpojumu vai paredzēts noslēgt saistīto kreditēšanas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nepieciešams grozīt: "21.5. preci vai pakalpojumu un tā cenu, ja saskaņā ar kreditēšanas līgumu paredzēts piešķirt aizdevumu atlikta maksājuma veidā par konkrētu preci vai pakalpojumu vai paredzēts noslēgt saistīto kreditēšanas līgumu;", jo atbilst spēkā esošajam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to maksājumu apmēru, skaitu un biežumu, kas jāveic patērētājam, kā arī kārtību, kādā maksājumus atmaksas nolūkā novirzīs dažādu nesamaksāto maksājumu samaksai, kuriem piemēro dažādas aizņēmuma likmes (ja šāda kārtība ir noteikta);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nepieciešams grozīt: "21.8. to maksājumu apmēru, skaitu un biežumu, kas jāveic patērētājam, kā arī kārtību, kādā maksājumus atmaksas nolūkā novirzīs dažādu nesamaksāto maksājumu samaksai, kuriem piemēro dažādas aizņēmuma likmes (ja šāda kārtība ir noteikta);",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21.20. etalona nosaukumu un šā etalona administratoru, kā arī informāciju par iespējamo ietekmi uz patērētāju. Minēto informāciju sniedz atsevišķā dokumentā, ko var pievienot šo noteikumu 3. pielikumā iekļautajai Eiropas patēriņa kredīta standartinformācijai kā pielikumu, ja kreditēšanas līgumā ir atsauce uz etalona likmi, kā tā definēta Eiropas Parlamenta un Padomes 2016. gada 8. jūnija Regulas (ES) 2016/1011 par indeksiem, ko izmanto kā etalonus finanšu instrumentos un finanšu līgumos vai ieguldījumu fondu darbības rezultātu mērīšanai, un ar kuru groza Direktīvu </w:t>
            </w:r>
            <w:r w:rsidR="00000000" w:rsidRPr="00000000" w:rsidDel="00000000">
              <w:rPr>
                <w:rtl w:val="0"/>
              </w:rPr>
              <w:t xml:space="preserve">2008/48/EK</w:t>
            </w:r>
            <w:r w:rsidR="00000000" w:rsidRPr="00000000" w:rsidDel="00000000">
              <w:rPr>
                <w:rtl w:val="0"/>
              </w:rPr>
              <w:t xml:space="preserve">, Direktīvu </w:t>
            </w:r>
            <w:r w:rsidR="00000000" w:rsidRPr="00000000" w:rsidDel="00000000">
              <w:rPr>
                <w:rtl w:val="0"/>
              </w:rPr>
              <w:t xml:space="preserve">2014/17/ES</w:t>
            </w:r>
            <w:r w:rsidR="00000000" w:rsidRPr="00000000" w:rsidDel="00000000">
              <w:rPr>
                <w:rtl w:val="0"/>
              </w:rPr>
              <w:t xml:space="preserve"> un Regulu (ES) Nr. 596/2014, 3. panta 1. punkta 3.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nepieciešams ietvert grozījumu: "21.20. etalona nosaukumu un šā etalona administratoru, kā arī informāciju par iespējamo ietekmi uz patērētāju. Minēto informāciju sniedz atsevišķā dokumentā, ko var pievienot šo noteikumu 3. pielikumā iekļautajai Eiropas patēriņa kredīta standartinformācijai kā pielikumu, ja kreditēšanas līgumā ir atsauce uz etalona likmi, kā tā definēta Eiropas Parlamenta un Padomes 2016. gada 8. jūnija Regulas (ES) 2016/1011 par indeksiem, ko izmanto kā etalonus finanšu instrumentos un finanšu līgumos vai ieguldījumu fondu darbības rezultātu mērīšanai, un ar kuru groza Direktīvu 2008/48/EK, Direktīvu 2014/17/ES un Regulu (ES) Nr. 596/2014, 3. panta 1. punkta 3. apakšpunktā;",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Kreditēšanas līgumiem, kurus noslēdzot patērētājam kredīta devēja glabāšanā kā nodrošinājums nododama kāda lieta un patērētāja atbildība ir ierobežota tikai ar ieķīlāto lietu, pirms patērētājs ir uzņēmies kreditēšanas līguma saistības vai piekritis piedāvājumam, kredīta devējs brīvā formā sniedz šo noteikumu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apakšpunktā norādīto informāciju, kā arī informāciju par kopējo summu, kas jāmaksā 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iekļaut grozījumu: "25. Kreditēšanas līgumiem, kurus noslēdzot patērētājam kredīta devēja glabāšanā kā nodrošinājums nododama kāda lieta un patērētāja atbildība ir ierobežota tikai ar ieķīlāto lietu, pirms patērētājs ir uzņēmies kreditēšanas līguma saistības vai piekritis piedāvājumam, kredīta devējs brīvā formā sniedz šo noteikumu 21.4., 21.5., 21.6. apakšpunktā norādīto informāciju, kā arī informāciju par kopējo summu, kas jāmaksā patērētājam.", jo atbilst spēkā esošajai refakcijai.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Padomu došanu veic tikai kredīta devēji, kredīta starpnieki vai kredīta starpnieku pārstāvji. Kredīta devējs, kredīta starpnieks vai kredīta starpnieka pārstāvis pirms padoma došanas vai attiecīgi pirms līguma noslēgšanas par padoma došanas pakalpojuma sniegšanu skaidri informē patērētāju par to, vai patērētājam tiek sniegts vai var tikt sniegts padoms, kā arī bez maksas sniedz šādu informāciju – kā papildu informāciju šo noteikumu IV, V vai VI nodaļā paredzētajai pirmslīguma informācijai – papīra formā vai izmantojot citu patērētājs izvēlētu pastāvīgu informācijas nesēju: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ietverto normas grozījumu: "48. Padomu došanu veic tikai kredīta devēji, kredīta starpnieki vai kredīta starpnieku pārstāvji. Kredīta devējs, kredīta starpnieks vai kredīta starpnieka pārstāvis pirms padoma došanas vai attiecīgi pirms līguma noslēgšanas par padoma došanas pakalpojuma sniegšanu skaidri informē patērētāju par to, vai patērētājam tiek sniegts vai var tikt sniegts padoms, kā arī bez maksas sniedz šādu informāciju – kā papildu informāciju šo noteikumu IV, V vai VI nodaļā paredzētajai pirmslīguma informācijai – papīra formā vai izmantojot citu patērētājs izvēlētu pastāvīgu informācijas nesēju: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vai padoms tiks sagatavots, pamatojoties tikai uz kredīta devēja, kredīta starpnieka vai kredīta starpnieka pārstāvja pašu piedāvāto kreditēšanas pakalpojumu klāstu vai pamatojoties uz plašu visā tirgū pieejamo kreditēšanas pakalpojumu klāstu, lai patērētājs varētu saprast, uz ko ir balstīts šis padoms;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maksa, kas patērētājam jāmaksā par padoma došanu, ja tāda ir noteikta, vai tās aprēķināšanai izmantoto metodi, ja informācijas sniegšanas brīdī šo summu nevar noteikt.", jo atbilst spēkā esošajai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kreditēšanas līguma darbības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ietverto grozījumu "56.3. kreditēšanas līguma darbības termiņu;",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kredīta kopējo summu un kredīta izņemšanas noteikumus;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ietverto grozījumu: "kredīta kopējo summu un kredīta izņemšanas noteikumus", jo atbilst spēkā esošajai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56.11. ja kreditēšanas līgums paredz konta atvēršanu, maksu par viena vai vairāku kontu uzturēšanu, kuri tiktu izmantoti maksājumu veikšanas un kredīta izņemšanas operāciju reģistrēšanai, norādot maksājumu instrumenta izmaksas gan maksājumu veikšanai, gan kredīta izņemšanai un jebkādas citas izmaksas, kas izriet no kreditēšanas līguma, kā arī nosacījumus, ar kuriem saskaņā šīs maksas var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"ja kreditēšanas līgums paredz konta atvēršanu, maksu par viena vai vairāku kontu uzturēšanu, kuri tiktu izmantoti maksājumu veikšanas un kredīta izņemšanas operāciju reģistrēšanai, norādot maksājumu instrumenta izmaksas gan maksājumu veikšanai, gan kredīta izņemšanai un jebkādas citas izmaksas, kas izriet no kreditēšanas līguma, kā arī nosacījumus, ar kuriem saskaņā šīs maksas var mainīt",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Kreditēšanas līgumā, saskaņā ar kuru patērētāja veiktos maksājumus tūlīt nenovirza attiecīgās kredīta kopējās summas atmaksai, bet izmanto kapitāla uzkrāšanai saskaņā ar kreditēšanas līgumā vai papildlīgumā noteiktiem laika periodiem un nosacījumiem, kredīta devējs šo noteikumu </w:t>
            </w:r>
            <w:r w:rsidR="00000000" w:rsidRPr="00000000" w:rsidDel="00000000">
              <w:rPr>
                <w:rtl w:val="0"/>
              </w:rPr>
              <w:t xml:space="preserve">56.</w:t>
            </w:r>
            <w:r w:rsidR="00000000" w:rsidRPr="00000000" w:rsidDel="00000000">
              <w:rPr>
                <w:rtl w:val="0"/>
              </w:rPr>
              <w:t xml:space="preserve"> punktā minētajā informācijā ietver skaidru un lakonisku norādi, ka šāds kreditēšanas līgums negarantē saskaņā ar kreditēšanas līgumu izsniegtās kredīta kopējās summas atmaksu, ja vien šāda garantija netiek dota.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Kreditēšanas līgumā, kura atmaksa nodrošināta ar nekustamo īpašumu vai kredīta mērķis ir iegūt vai saglabāt tiesības uz nekustamo īpašumu, norāda šo noteikumu </w:t>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56.3.</w:t>
            </w:r>
            <w:r w:rsidR="00000000" w:rsidRPr="00000000" w:rsidDel="00000000">
              <w:rPr>
                <w:rtl w:val="0"/>
              </w:rPr>
              <w:t xml:space="preserve">, </w:t>
            </w:r>
            <w:r w:rsidR="00000000" w:rsidRPr="00000000" w:rsidDel="00000000">
              <w:rPr>
                <w:rtl w:val="0"/>
              </w:rPr>
              <w:t xml:space="preserve">56.4.</w:t>
            </w:r>
            <w:r w:rsidR="00000000" w:rsidRPr="00000000" w:rsidDel="00000000">
              <w:rPr>
                <w:rtl w:val="0"/>
              </w:rPr>
              <w:t xml:space="preserve">, </w:t>
            </w:r>
            <w:r w:rsidR="00000000" w:rsidRPr="00000000" w:rsidDel="00000000">
              <w:rPr>
                <w:rtl w:val="0"/>
              </w:rPr>
              <w:t xml:space="preserve">56.5.</w:t>
            </w:r>
            <w:r w:rsidR="00000000" w:rsidRPr="00000000" w:rsidDel="00000000">
              <w:rPr>
                <w:rtl w:val="0"/>
              </w:rPr>
              <w:t xml:space="preserve">, </w:t>
            </w:r>
            <w:r w:rsidR="00000000" w:rsidRPr="00000000" w:rsidDel="00000000">
              <w:rPr>
                <w:rtl w:val="0"/>
              </w:rPr>
              <w:t xml:space="preserve">56.6.</w:t>
            </w:r>
            <w:r w:rsidR="00000000" w:rsidRPr="00000000" w:rsidDel="00000000">
              <w:rPr>
                <w:rtl w:val="0"/>
              </w:rPr>
              <w:t xml:space="preserve">, </w:t>
            </w:r>
            <w:r w:rsidR="00000000" w:rsidRPr="00000000" w:rsidDel="00000000">
              <w:rPr>
                <w:rtl w:val="0"/>
              </w:rPr>
              <w:t xml:space="preserve">56.7.</w:t>
            </w:r>
            <w:r w:rsidR="00000000" w:rsidRPr="00000000" w:rsidDel="00000000">
              <w:rPr>
                <w:rtl w:val="0"/>
              </w:rPr>
              <w:t xml:space="preserve">, </w:t>
            </w:r>
            <w:r w:rsidR="00000000" w:rsidRPr="00000000" w:rsidDel="00000000">
              <w:rPr>
                <w:rtl w:val="0"/>
              </w:rPr>
              <w:t xml:space="preserve">56.8.</w:t>
            </w:r>
            <w:r w:rsidR="00000000" w:rsidRPr="00000000" w:rsidDel="00000000">
              <w:rPr>
                <w:rtl w:val="0"/>
              </w:rPr>
              <w:t xml:space="preserve">, </w:t>
            </w:r>
            <w:r w:rsidR="00000000" w:rsidRPr="00000000" w:rsidDel="00000000">
              <w:rPr>
                <w:rtl w:val="0"/>
              </w:rPr>
              <w:t xml:space="preserve">56.9.</w:t>
            </w:r>
            <w:r w:rsidR="00000000" w:rsidRPr="00000000" w:rsidDel="00000000">
              <w:rPr>
                <w:rtl w:val="0"/>
              </w:rPr>
              <w:t xml:space="preserve">, </w:t>
            </w:r>
            <w:r w:rsidR="00000000" w:rsidRPr="00000000" w:rsidDel="00000000">
              <w:rPr>
                <w:rtl w:val="0"/>
              </w:rPr>
              <w:t xml:space="preserve">56.10.</w:t>
            </w:r>
            <w:r w:rsidR="00000000" w:rsidRPr="00000000" w:rsidDel="00000000">
              <w:rPr>
                <w:rtl w:val="0"/>
              </w:rPr>
              <w:t xml:space="preserve">, </w:t>
            </w:r>
            <w:r w:rsidR="00000000" w:rsidRPr="00000000" w:rsidDel="00000000">
              <w:rPr>
                <w:rtl w:val="0"/>
              </w:rPr>
              <w:t xml:space="preserve">56.11.</w:t>
            </w:r>
            <w:r w:rsidR="00000000" w:rsidRPr="00000000" w:rsidDel="00000000">
              <w:rPr>
                <w:rtl w:val="0"/>
              </w:rPr>
              <w:t xml:space="preserve">, </w:t>
            </w:r>
            <w:r w:rsidR="00000000" w:rsidRPr="00000000" w:rsidDel="00000000">
              <w:rPr>
                <w:rtl w:val="0"/>
              </w:rPr>
              <w:t xml:space="preserve">56.12.</w:t>
            </w:r>
            <w:r w:rsidR="00000000" w:rsidRPr="00000000" w:rsidDel="00000000">
              <w:rPr>
                <w:rtl w:val="0"/>
              </w:rPr>
              <w:t xml:space="preserve">, </w:t>
            </w:r>
            <w:r w:rsidR="00000000" w:rsidRPr="00000000" w:rsidDel="00000000">
              <w:rPr>
                <w:rtl w:val="0"/>
              </w:rPr>
              <w:t xml:space="preserve">56.13.</w:t>
            </w:r>
            <w:r w:rsidR="00000000" w:rsidRPr="00000000" w:rsidDel="00000000">
              <w:rPr>
                <w:rtl w:val="0"/>
              </w:rPr>
              <w:t xml:space="preserve">, </w:t>
            </w:r>
            <w:r w:rsidR="00000000" w:rsidRPr="00000000" w:rsidDel="00000000">
              <w:rPr>
                <w:rtl w:val="0"/>
              </w:rPr>
              <w:t xml:space="preserve">56.14.</w:t>
            </w:r>
            <w:r w:rsidR="00000000" w:rsidRPr="00000000" w:rsidDel="00000000">
              <w:rPr>
                <w:rtl w:val="0"/>
              </w:rPr>
              <w:t xml:space="preserve">, </w:t>
            </w:r>
            <w:r w:rsidR="00000000" w:rsidRPr="00000000" w:rsidDel="00000000">
              <w:rPr>
                <w:rtl w:val="0"/>
              </w:rPr>
              <w:t xml:space="preserve">56.15.</w:t>
            </w:r>
            <w:r w:rsidR="00000000" w:rsidRPr="00000000" w:rsidDel="00000000">
              <w:rPr>
                <w:rtl w:val="0"/>
              </w:rPr>
              <w:t xml:space="preserve">, </w:t>
            </w:r>
            <w:r w:rsidR="00000000" w:rsidRPr="00000000" w:rsidDel="00000000">
              <w:rPr>
                <w:rtl w:val="0"/>
              </w:rPr>
              <w:t xml:space="preserve">56.16.</w:t>
            </w:r>
            <w:r w:rsidR="00000000" w:rsidRPr="00000000" w:rsidDel="00000000">
              <w:rPr>
                <w:rtl w:val="0"/>
              </w:rPr>
              <w:t xml:space="preserve">, </w:t>
            </w:r>
            <w:r w:rsidR="00000000" w:rsidRPr="00000000" w:rsidDel="00000000">
              <w:rPr>
                <w:rtl w:val="0"/>
              </w:rPr>
              <w:t xml:space="preserve">56.18.</w:t>
            </w:r>
            <w:r w:rsidR="00000000" w:rsidRPr="00000000" w:rsidDel="00000000">
              <w:rPr>
                <w:rtl w:val="0"/>
              </w:rPr>
              <w:t xml:space="preserve">, </w:t>
            </w:r>
            <w:r w:rsidR="00000000" w:rsidRPr="00000000" w:rsidDel="00000000">
              <w:rPr>
                <w:rtl w:val="0"/>
              </w:rPr>
              <w:t xml:space="preserve">56.19.</w:t>
            </w:r>
            <w:r w:rsidR="00000000" w:rsidRPr="00000000" w:rsidDel="00000000">
              <w:rPr>
                <w:rtl w:val="0"/>
              </w:rPr>
              <w:t xml:space="preserve">, </w:t>
            </w:r>
            <w:r w:rsidR="00000000" w:rsidRPr="00000000" w:rsidDel="00000000">
              <w:rPr>
                <w:rtl w:val="0"/>
              </w:rPr>
              <w:t xml:space="preserve">56.20.</w:t>
            </w:r>
            <w:r w:rsidR="00000000" w:rsidRPr="00000000" w:rsidDel="00000000">
              <w:rPr>
                <w:rtl w:val="0"/>
              </w:rPr>
              <w:t xml:space="preserve">, </w:t>
            </w:r>
            <w:r w:rsidR="00000000" w:rsidRPr="00000000" w:rsidDel="00000000">
              <w:rPr>
                <w:rtl w:val="0"/>
              </w:rPr>
              <w:t xml:space="preserve">56.21.</w:t>
            </w:r>
            <w:r w:rsidR="00000000" w:rsidRPr="00000000" w:rsidDel="00000000">
              <w:rPr>
                <w:rtl w:val="0"/>
              </w:rPr>
              <w:t xml:space="preserve"> un </w:t>
            </w:r>
            <w:r w:rsidR="00000000" w:rsidRPr="00000000" w:rsidDel="00000000">
              <w:rPr>
                <w:rtl w:val="0"/>
              </w:rPr>
              <w:t xml:space="preserve">56.22.</w:t>
            </w:r>
            <w:r w:rsidR="00000000" w:rsidRPr="00000000" w:rsidDel="00000000">
              <w:rPr>
                <w:rtl w:val="0"/>
              </w:rPr>
              <w:t xml:space="preserve">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Kreditēšanas līgumā, kurā kredīta devējs un patērētājs vienojas par atmaksas kārtību, ja patērētājs nav izpildījis sākotnējā kreditēšanas līguma saistības, un šāda kārtība novērstu iespējamos tiesas procesus par patērētāja kreditēšanas līgumā noteikto saistību neizpildi, kā arī uz patērētāju tādēļ neattiektos mazāk izdevīgi noteikumi par tiem, kas noteikti sākotnējā patērētāja kreditēšanas līgumā, norāda vismaz šo noteikumu </w:t>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56.3.</w:t>
            </w:r>
            <w:r w:rsidR="00000000" w:rsidRPr="00000000" w:rsidDel="00000000">
              <w:rPr>
                <w:rtl w:val="0"/>
              </w:rPr>
              <w:t xml:space="preserve">, </w:t>
            </w:r>
            <w:r w:rsidR="00000000" w:rsidRPr="00000000" w:rsidDel="00000000">
              <w:rPr>
                <w:rtl w:val="0"/>
              </w:rPr>
              <w:t xml:space="preserve">56.4.</w:t>
            </w:r>
            <w:r w:rsidR="00000000" w:rsidRPr="00000000" w:rsidDel="00000000">
              <w:rPr>
                <w:rtl w:val="0"/>
              </w:rPr>
              <w:t xml:space="preserve">, </w:t>
            </w:r>
            <w:r w:rsidR="00000000" w:rsidRPr="00000000" w:rsidDel="00000000">
              <w:rPr>
                <w:rtl w:val="0"/>
              </w:rPr>
              <w:t xml:space="preserve">56.5.</w:t>
            </w:r>
            <w:r w:rsidR="00000000" w:rsidRPr="00000000" w:rsidDel="00000000">
              <w:rPr>
                <w:rtl w:val="0"/>
              </w:rPr>
              <w:t xml:space="preserve">, </w:t>
            </w:r>
            <w:r w:rsidR="00000000" w:rsidRPr="00000000" w:rsidDel="00000000">
              <w:rPr>
                <w:rtl w:val="0"/>
              </w:rPr>
              <w:t xml:space="preserve">56.6.</w:t>
            </w:r>
            <w:r w:rsidR="00000000" w:rsidRPr="00000000" w:rsidDel="00000000">
              <w:rPr>
                <w:rtl w:val="0"/>
              </w:rPr>
              <w:t xml:space="preserve">, </w:t>
            </w:r>
            <w:r w:rsidR="00000000" w:rsidRPr="00000000" w:rsidDel="00000000">
              <w:rPr>
                <w:rtl w:val="0"/>
              </w:rPr>
              <w:t xml:space="preserve">56.7.</w:t>
            </w:r>
            <w:r w:rsidR="00000000" w:rsidRPr="00000000" w:rsidDel="00000000">
              <w:rPr>
                <w:rtl w:val="0"/>
              </w:rPr>
              <w:t xml:space="preserve">, </w:t>
            </w:r>
            <w:r w:rsidR="00000000" w:rsidRPr="00000000" w:rsidDel="00000000">
              <w:rPr>
                <w:rtl w:val="0"/>
              </w:rPr>
              <w:t xml:space="preserve">56.8.</w:t>
            </w:r>
            <w:r w:rsidR="00000000" w:rsidRPr="00000000" w:rsidDel="00000000">
              <w:rPr>
                <w:rtl w:val="0"/>
              </w:rPr>
              <w:t xml:space="preserve">, </w:t>
            </w:r>
            <w:r w:rsidR="00000000" w:rsidRPr="00000000" w:rsidDel="00000000">
              <w:rPr>
                <w:rtl w:val="0"/>
              </w:rPr>
              <w:t xml:space="preserve">56.9.</w:t>
            </w:r>
            <w:r w:rsidR="00000000" w:rsidRPr="00000000" w:rsidDel="00000000">
              <w:rPr>
                <w:rtl w:val="0"/>
              </w:rPr>
              <w:t xml:space="preserve">, </w:t>
            </w:r>
            <w:r w:rsidR="00000000" w:rsidRPr="00000000" w:rsidDel="00000000">
              <w:rPr>
                <w:rtl w:val="0"/>
              </w:rPr>
              <w:t xml:space="preserve">56.12.</w:t>
            </w:r>
            <w:r w:rsidR="00000000" w:rsidRPr="00000000" w:rsidDel="00000000">
              <w:rPr>
                <w:rtl w:val="0"/>
              </w:rPr>
              <w:t xml:space="preserve"> un </w:t>
            </w:r>
            <w:r w:rsidR="00000000" w:rsidRPr="00000000" w:rsidDel="00000000">
              <w:rPr>
                <w:rtl w:val="0"/>
              </w:rPr>
              <w:t xml:space="preserve">56.18.</w:t>
            </w:r>
            <w:r w:rsidR="00000000" w:rsidRPr="00000000" w:rsidDel="00000000">
              <w:rPr>
                <w:rtl w:val="0"/>
              </w:rPr>
              <w:t xml:space="preserve"> apakšpunktā minēto informāciju. Tomēr, ja uz kreditēšanas līgumu attiecas šo noteikumu </w:t>
            </w:r>
            <w:r w:rsidR="00000000" w:rsidRPr="00000000" w:rsidDel="00000000">
              <w:rPr>
                <w:rtl w:val="0"/>
              </w:rPr>
              <w:t xml:space="preserve">59.</w:t>
            </w:r>
            <w:r w:rsidR="00000000" w:rsidRPr="00000000" w:rsidDel="00000000">
              <w:rPr>
                <w:rtl w:val="0"/>
              </w:rPr>
              <w:t xml:space="preserve"> punktā minētie nosacījumi, piemēro tikai šo noteikumu 59.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Papildus šo noteikumu </w:t>
            </w:r>
            <w:r w:rsidR="00000000" w:rsidRPr="00000000" w:rsidDel="00000000">
              <w:rPr>
                <w:rtl w:val="0"/>
              </w:rPr>
              <w:t xml:space="preserve">94.</w:t>
            </w:r>
            <w:r w:rsidR="00000000" w:rsidRPr="00000000" w:rsidDel="00000000">
              <w:rPr>
                <w:rtl w:val="0"/>
              </w:rPr>
              <w:t xml:space="preserve"> punktā noteiktajam pārsnieguma kredīta līguma darbības laikā kredīta devējs individuāli informē patērētāju par aizņēmuma likmes vai saskaņā ar kreditēšanas līgumu maksājamo izmaksu palielinājumu vienu mēnesi pirms šo izmaiņu stāšanās spēkā, ja citos tiesību aktos nav noteikts citādi vai līgumā nav noteikts garāks termiņš. Šādu informāciju sniedz papīra formā vai izmantojot citu pastāvīgu informācijas nesēju, par kuru kredīta devējs vienojas ar patērētāju. Puses pārsnieguma kredīta līgumā var vienoties, ka minēto informāciju patērētājam sniedz šo noteikumu </w:t>
            </w:r>
            <w:r w:rsidR="00000000" w:rsidRPr="00000000" w:rsidDel="00000000">
              <w:rPr>
                <w:rtl w:val="0"/>
              </w:rPr>
              <w:t xml:space="preserve">94.</w:t>
            </w:r>
            <w:r w:rsidR="00000000" w:rsidRPr="00000000" w:rsidDel="00000000">
              <w:rPr>
                <w:rtl w:val="0"/>
              </w:rPr>
              <w:t xml:space="preserve"> punktā noteiktajā kārtībā, ja izmaiņas aizņēmuma likmē izriet no izmaiņām, kas notikušas bāzes procentu likmē (</w:t>
            </w:r>
            <w:r w:rsidR="00000000" w:rsidRPr="00000000" w:rsidDel="00000000">
              <w:rPr>
                <w:i w:val="1"/>
                <w:rtl w:val="0"/>
              </w:rPr>
              <w:t xml:space="preserve">Euribor</w:t>
            </w:r>
            <w:r w:rsidR="00000000" w:rsidRPr="00000000" w:rsidDel="00000000">
              <w:rPr>
                <w:rtl w:val="0"/>
              </w:rPr>
              <w:t xml:space="preserve"> vai citas) jeb etalona procentu likmes, un informācija par jauno aizņēmuma likmes mainīgo daļu ir publiski pieejama, tai skaitā kredīta devēja telpās.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05.06.2025.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05.06.2025.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Atzinumi_25-TA-238.docx</dc:title>
</cp:coreProperties>
</file>

<file path=docProps/custom.xml><?xml version="1.0" encoding="utf-8"?>
<Properties xmlns="http://schemas.openxmlformats.org/officeDocument/2006/custom-properties" xmlns:vt="http://schemas.openxmlformats.org/officeDocument/2006/docPropsVTypes"/>
</file>