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un līdzatbildīgajām institūcijām pamatnostādnēs iekļautos pasākumus 2024. gadā īstenot atbilstoši tām piešķirtajiem valsts budžeta līdzekļiem. Jautājumu par papildu valsts budžeta līdzekļu piešķiršanu pamatnostādņu īstenošanai 2025. gadā un turpmākajos gados izskatīt Ministru kabinetā likumprojekta "Par valsts budžetu 2025. gadam un budžeta ietvaru 2025., 2026. un 2027. gadam" sagatavošanas procesā kopā ar visu ministriju un centrālo valsts iestāžu iesniegtajiem prioritāro pasākumu pieteikumiem, ievērojot valsts budžeta finansiālās iespējas. Savukārt, ja budžeta likumprojekta sagatavošanas procesā netiek atbalstīta papildu finansējuma piešķiršana, pamatnostādnēs paredzētais ir nodrošināms atbilstoši iesaistīto institūciju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20.augusta Ministru kabineta sēdē tika izskatīts Finanšu ministrijas sagatavotais informatīvais ziņojums "Par makroekonomisko rādītāju, ieņēmumu un vispārējās valdības budžeta bilances prognozēm 2025., 2026., 2027. un 2028. gadā", pieņemot zināšanai, ka fiskālā telpa 2025. gadā ir -13,0 milj. </w:t>
            </w:r>
            <w:r w:rsidR="00000000" w:rsidRPr="00000000" w:rsidDel="00000000">
              <w:rPr>
                <w:i w:val="1"/>
                <w:rtl w:val="0"/>
              </w:rPr>
              <w:t xml:space="preserve">euro</w:t>
            </w:r>
            <w:r w:rsidR="00000000" w:rsidRPr="00000000" w:rsidDel="00000000">
              <w:rPr>
                <w:rtl w:val="0"/>
              </w:rPr>
              <w:t xml:space="preserve">, 2026. gadā ir 32,2 milj. </w:t>
            </w:r>
            <w:r w:rsidR="00000000" w:rsidRPr="00000000" w:rsidDel="00000000">
              <w:rPr>
                <w:i w:val="1"/>
                <w:rtl w:val="0"/>
              </w:rPr>
              <w:t xml:space="preserve">euro</w:t>
            </w:r>
            <w:r w:rsidR="00000000" w:rsidRPr="00000000" w:rsidDel="00000000">
              <w:rPr>
                <w:rtl w:val="0"/>
              </w:rPr>
              <w:t xml:space="preserve">, 2027. gadā ir 43,5 milj. </w:t>
            </w:r>
            <w:r w:rsidR="00000000" w:rsidRPr="00000000" w:rsidDel="00000000">
              <w:rPr>
                <w:i w:val="1"/>
                <w:rtl w:val="0"/>
              </w:rPr>
              <w:t xml:space="preserve">euro</w:t>
            </w:r>
            <w:r w:rsidR="00000000" w:rsidRPr="00000000" w:rsidDel="00000000">
              <w:rPr>
                <w:rtl w:val="0"/>
              </w:rPr>
              <w:t xml:space="preserve"> un 2028. gadā ir 1,4 milj. </w:t>
            </w:r>
            <w:r w:rsidR="00000000" w:rsidRPr="00000000" w:rsidDel="00000000">
              <w:rPr>
                <w:i w:val="1"/>
                <w:rtl w:val="0"/>
              </w:rPr>
              <w:t xml:space="preserve">euro</w:t>
            </w:r>
            <w:r w:rsidR="00000000" w:rsidRPr="00000000" w:rsidDel="00000000">
              <w:rPr>
                <w:rtl w:val="0"/>
              </w:rPr>
              <w:t xml:space="preserve">.  Tāpat tika noteikts, Finanšu ministrijai sadarbībā ar nozaru ministrijām turpināt darbu valsts budžeta ieņēmumus palielinošu un izdevumus samazinošu pasākumu sagatavošanā 2025., 2026., 2027. un 2028. gadam. Ņemot vērā minēto, kā arī ierobežotās valsts budžeta iespējas, nav atbalstāma papildus finansējuma plānošana 2025.gadā, savukārt turpmākajos gados ir pārskatāms papildus nepieciešamā finansējuma apmērs. Tādējādi ir precizējama Ministru kabineta rīkojuma projekta 4.punkta redakcija, vienlaikus precizējot pamatnostādņu projektu, salāgojot to ar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iepriekš sniegtos iebildumus</w:t>
            </w:r>
            <w:r w:rsidR="00000000" w:rsidRPr="00000000" w:rsidDel="00000000">
              <w:rPr>
                <w:rtl w:val="0"/>
              </w:rPr>
              <w:t xml:space="preserve"> saistībā ar OECD/G20 Iekļaujošās Platformas Nodokļa bāzes samazināšanas un peļņas pārneses novēršanai  2021. gada 8. oktobra Paziņojumu par divu pīlāru risinājumu nodokļu izaicinājumiem, kas rodas no ekonomikas digitalizācijas, kā sakarā </w:t>
            </w:r>
            <w:r w:rsidR="00000000" w:rsidRPr="00000000" w:rsidDel="00000000">
              <w:rPr>
                <w:b w:val="1"/>
                <w:rtl w:val="0"/>
              </w:rPr>
              <w:t xml:space="preserve">lūdzam svītrot </w:t>
            </w:r>
            <w:r w:rsidR="00000000" w:rsidRPr="00000000" w:rsidDel="00000000">
              <w:rPr>
                <w:rtl w:val="0"/>
              </w:rPr>
              <w:t xml:space="preserve">Pamatnostādņu V. sadaļas 1. apakšsadaļas Stipra Latvijas mediju vide un informatīvā telpa (9.lpp.) rindkopu “</w:t>
            </w:r>
            <w:r w:rsidR="00000000" w:rsidRPr="00000000" w:rsidDel="00000000">
              <w:rPr>
                <w:u w:val="single"/>
                <w:rtl w:val="0"/>
              </w:rPr>
              <w:t xml:space="preserve">Ņemot vērā, ka sociālo tīklu platformas atņem ieņēmumus Latvijas mediju uzņēmumiem, ir nepieciešams rast risinājumu, kas dotu iespēju aplikt ar nodokļiem ārvalstu uzņēmuma zināmu daļu peļņas. Vismaz daļa šādu nodokļu ieņēmumu būtu novirzāmi iniciatīvām, kas ir vērstas uz vietējo mediju atbalstu.</w:t>
            </w:r>
            <w:r w:rsidR="00000000" w:rsidRPr="00000000" w:rsidDel="00000000">
              <w:rPr>
                <w:rtl w:val="0"/>
              </w:rPr>
              <w:t xml:space="preserve">” Īpaši vēršam uzmanību, ka kamēr nav rasts starptautisks risinājums, Latvija nevar aplikt ar nodokļiem ārvalstu uzņēmuma peļņas daļu, jo nodokļu uzlikšanu ārvalstu uzņēmumu peļņai ierobežo spēkā esošie divpusējie līgumi par nodokļu dubultās uzlikšanas novēršanu, kas paredz līgumslēdzējai pusei nodokļu uzlikšanas tiesības, ja ārvalstu uzņēmumam šajā valstī ir zināma veida klātbūtne (pastāvīgā pārstāvniecība), kā tas minēts Latvijas mediju politikas pamatnostādnēm 2024.-2027. gadam pielikumā. Līdz ar to, pat ja tiktu pieņemts šāds koncepts, divpusējie nodokļu līgumi liegtu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07.08.2024. izteiktais iebildums ir ņemts vērā un Finanšu ministrija dzēsta kā līdzatbildīgā institūcija pamatnostādņu projekta I. rīcības virziena 2. uzdevumā, lūdzam izziņā pie minētā iebilduma precizēt sadaļu "Apstrādes informācija" uz "Ņemts vērā".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27.08.2024.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27.08.2024.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