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w:t>
            </w:r>
            <w:r w:rsidR="00000000" w:rsidRPr="00000000" w:rsidDel="00000000">
              <w:rPr>
                <w:b w:val="1"/>
                <w:rtl w:val="0"/>
              </w:rPr>
              <w:t xml:space="preserve">uztur spēkā iepriekš izteikto iebildumu un neatbalsta jaunas piemaksas, identiskā apmērā visām amatpersonām ar speciālām dienesta pakāpēm, </w:t>
            </w:r>
            <w:r w:rsidR="00000000" w:rsidRPr="00000000" w:rsidDel="00000000">
              <w:rPr>
                <w:rtl w:val="0"/>
              </w:rPr>
              <w:t xml:space="preserve">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piemaksa ir papildu atlīdzība, kurai ir kompensējošs raksturs un tā tiek noteikta par kaut ko konkrētu, pie noteiktiem apstākļiem atsevišķiem nodarbinātajiem. Piemaksas nevar būt pilnīgi identiskā apmērā visiem nodarbinātajiem bez izņēmuma, turklāt nepārtraukti un ilgtermiņā. Tāpat piemaksa tiek noteikta papildus pie esošās mēnešalgas, t.i. , par tādiem pienākumiem, kas nav ietverti  mēnešalgā un kuri nav pamatpienākumi.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piemaksas nosaukumu “par noteiktu funkciju un uzdevumu izpildi” un ņemot vērā, ka tās apmērs ir identisks visām amatpersonām ar speciālām dienesta pakāpēm, secināms, ka šādas piemaksas mērķis ir maksāt par tām funkcijām un uzdevumiem, kas jau ir ietverti amata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projekta sākotnējās ietekmes novērtējuma ziņojumā (anotācijā) norādīto, kā arī izziņā ierakstīto, jāsecina, ka pēc būtības šāds papildu piešķirtais finansējums (300 euro apmērā visām amatpersonām ar speciālajām dienesta pakāpēm, tostarp kadetiem) nodrošina jau esošās mēnešalgas palielinājumu pilnīgi visām amatpersonām ar speciālām dienesta pakāpēm bez izņēmuma.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kancelejas ieskatā projekts ir precizējams nosakot, ka pilnīgi visām amatpersonām tiek palielināta mēnešalga par 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palielinot mēnešalgu, tas būs ne tikai motivējošs, bet arī garantēts atlīdzības palielinājums. Līdz ar šādu pieeju tiek sasniegti divi mērķi, no kuriem viens ir motivējošs un otrs mēnešalgas apmērs ir stabils un ienākumu līmenis prognozējams. Vienlaikus šāda pieeja arī mazinās administratīvo slogu, neradot liekus personāllietvedības dokumentus šīs piemaksas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atlīdzības sistēma primāri veidojama nosakot konkurētspējīgu mēnešalgu un mazinot piemaksu un citu papildu atlīdzības veidu īpatsvaru atlīdzības struktūrā, tādējādi radot amatpersonām stabilitāti, prognozējamību un sociālo nodrošinājumu, tostarp, aizejot no dienesta un saņemot atbilstošu izdienas pensiju un turpmāk pienākušos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attiecībā uz potenciālo finanšu resursu iztrūkumu, ja piemaksa  “par noteiktu funkciju un uzdevumu izpildi” tiek iestrādāta mēnešalgā, norādāms, ka jau šobrīd, pieprasot papildu finansējumu, t.sk., virzot līdzekļu pieprasījumus apropriācijas pārdalēm, no budžeta resora "74. Gadskārtējā valsts budžeta izpildes procesā pārdalāmais finansējums", kā arī  jebkuros citos papildu finansējuma pieprasījumos vienmēr tiek ietverta pozīcija "Vidējās izpeļņas pieauguma kompensēšana" , kā arī gada beigās bieži novērojama situācija, īpaši iekšlietu resorā, kad atlīdzībai paredzētie izdevumi tiek novirzītie citu izdevumu posteņu, kuri nav saistīti ar atlīdzību,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(Laila Ruškule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24-TA-2292</w:t>
    </w:r>
    <w:r>
      <w:br/>
    </w:r>
    <w:r w:rsidR="00000000" w:rsidRPr="00000000" w:rsidDel="00000000">
      <w:rPr>
        <w:rtl w:val="0"/>
      </w:rPr>
      <w:t xml:space="preserve">Izdrukāts 29.11.2024.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24-TA-2292</w:t>
    </w:r>
    <w:r>
      <w:br/>
    </w:r>
    <w:r w:rsidR="00000000" w:rsidRPr="00000000" w:rsidDel="00000000">
      <w:rPr>
        <w:rtl w:val="0"/>
      </w:rPr>
      <w:t xml:space="preserve">Izdrukāts 29.11.2024.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Atzinumi_24-TA-2292.docx</dc:title>
</cp:coreProperties>
</file>

<file path=docProps/custom.xml><?xml version="1.0" encoding="utf-8"?>
<Properties xmlns="http://schemas.openxmlformats.org/officeDocument/2006/custom-properties" xmlns:vt="http://schemas.openxmlformats.org/officeDocument/2006/docPropsVTypes"/>
</file>