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februāra noteikumos Nr. 109 "Kārtība, kādā atsavināma publiskas personas manta"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2. sadaļu, ņemot vērā Ministru kabineta 2021. gada 7. septembra noteikumu Nr.617 "Tiesību akta projekta sākotnējās ietekmes izvērtēšanas kārtība" 15.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Šo noteikumu 23. punktā norādīto kārtību nepiemēro attiecībā uz nevajadzīgo valsts kustamo mantu, kas paredzēta sabiedriskās kārtības un drošības nodrošināšanai, un ir nepieciešama Pašvaldību likuma 4. panta pirmās daļas 14. punktā noteiktās pašvaldības autonomās funkcijas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26.</w:t>
            </w:r>
            <w:r w:rsidR="00000000" w:rsidRPr="00000000" w:rsidDel="00000000">
              <w:rPr>
                <w:vertAlign w:val="superscript"/>
                <w:rtl w:val="0"/>
              </w:rPr>
              <w:t xml:space="preserve">1</w:t>
            </w:r>
            <w:r w:rsidR="00000000" w:rsidRPr="00000000" w:rsidDel="00000000">
              <w:rPr>
                <w:rtl w:val="0"/>
              </w:rPr>
              <w:t xml:space="preserve"> punktā paredzētais izņēmums, kas paredz vispārējo nevajadzīgās valsts kustamās mantas atsavināšanas kārtību nepiemērot uz jebkuru mantu, kas paredzēta sabiedriskās kārtības un drošības nodrošināšanai, </w:t>
            </w:r>
            <w:r w:rsidR="00000000" w:rsidRPr="00000000" w:rsidDel="00000000">
              <w:rPr>
                <w:u w:val="single"/>
                <w:rtl w:val="0"/>
              </w:rPr>
              <w:t xml:space="preserve">ir samērīgs un pamatots</w:t>
            </w:r>
            <w:r w:rsidR="00000000" w:rsidRPr="00000000" w:rsidDel="00000000">
              <w:rPr>
                <w:rtl w:val="0"/>
              </w:rPr>
              <w:t xml:space="preserve">, jo šāds formulējums ietver arī, piemēram, kancelejas preces, pārtikas preces, datortehniku, degvielu u.c., kas nav atbilstoši normatīvajiem aktiem uzskatāmi par speciālajiem līdzekļiem, bet var tikt izmantoti sabiedriskās kārtības un drošības nodrošināšanai, un </w:t>
            </w:r>
            <w:r w:rsidR="00000000" w:rsidRPr="00000000" w:rsidDel="00000000">
              <w:rPr>
                <w:b w:val="1"/>
                <w:rtl w:val="0"/>
              </w:rPr>
              <w:t xml:space="preserve">"Risinājuma </w:t>
            </w:r>
            <w:r w:rsidR="00000000" w:rsidRPr="00000000" w:rsidDel="00000000">
              <w:rPr>
                <w:b w:val="1"/>
                <w:rtl w:val="0"/>
              </w:rPr>
              <w:t xml:space="preserve">aprakstā" </w:t>
            </w:r>
            <w:r w:rsidR="00000000" w:rsidRPr="00000000" w:rsidDel="00000000">
              <w:rPr>
                <w:rtl w:val="0"/>
              </w:rPr>
              <w:t xml:space="preserve">norādītajam, ka noteikumu projektā paredzēts, ka izņēmuma gadījums attieksies tikai uz to nevajadzīgo valsts kustamo mantu, kas </w:t>
            </w:r>
            <w:r w:rsidR="00000000" w:rsidRPr="00000000" w:rsidDel="00000000">
              <w:rPr>
                <w:u w:val="single"/>
                <w:rtl w:val="0"/>
              </w:rPr>
              <w:t xml:space="preserve">ir specializēt</w:t>
            </w:r>
            <w:r w:rsidR="00000000" w:rsidRPr="00000000" w:rsidDel="00000000">
              <w:rPr>
                <w:rtl w:val="0"/>
              </w:rPr>
              <w:t xml:space="preserve">a, lai to izmantotu pašvaldības autonomās funkcijas (sabiedriskās kārtības un drošības nodrošināšana) izpildei, kā, piemēram, speciāli aprīkoti transportlīdzekļi, kuģošanas līdzekļi un citi tehniskie līdzekļi. Līdz ar to aicinām precizēt vai nu "</w:t>
            </w:r>
            <w:r w:rsidR="00000000" w:rsidRPr="00000000" w:rsidDel="00000000">
              <w:rPr>
                <w:b w:val="1"/>
                <w:rtl w:val="0"/>
              </w:rPr>
              <w:t xml:space="preserve">Risinājuma aprakstā"</w:t>
            </w:r>
            <w:r w:rsidR="00000000" w:rsidRPr="00000000" w:rsidDel="00000000">
              <w:rPr>
                <w:rtl w:val="0"/>
              </w:rPr>
              <w:t xml:space="preserve"> norādīto, vai arī piedāvāto noteikumu 26.</w:t>
            </w:r>
            <w:r w:rsidR="00000000" w:rsidRPr="00000000" w:rsidDel="00000000">
              <w:rPr>
                <w:vertAlign w:val="superscript"/>
                <w:rtl w:val="0"/>
              </w:rPr>
              <w:t xml:space="preserve">1</w:t>
            </w:r>
            <w:r w:rsidR="00000000" w:rsidRPr="00000000" w:rsidDel="00000000">
              <w:rPr>
                <w:rtl w:val="0"/>
              </w:rPr>
              <w:t xml:space="preserve"> punkta redakciju, to attiecinot tikai uz nevajadzīgo kustamo mantu - </w:t>
            </w:r>
            <w:r w:rsidR="00000000" w:rsidRPr="00000000" w:rsidDel="00000000">
              <w:rPr>
                <w:u w:val="single"/>
                <w:rtl w:val="0"/>
              </w:rPr>
              <w:t xml:space="preserve">speciāliem līdzekļiem un speciāli aprīkotiem transportlīdzekļiem</w:t>
            </w:r>
            <w:r w:rsidR="00000000" w:rsidRPr="00000000" w:rsidDel="00000000">
              <w:rPr>
                <w:rtl w:val="0"/>
              </w:rPr>
              <w:t xml:space="preserve">, kuru pielietošanas tiesības pašvaldības policijas darbiniekiem sabiedriskās kārtības uzturēšanai noteic likuma "Par policiju" 19. panta sestā daļa, bet to veidus - Ministru kabineta 2011. gada 18. janvāra noteikumi Nr.55 "Noteikumi par speciālo līdzekļu veidiem un to lietošanas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Ja uz šo noteikumu 26.</w:t>
            </w:r>
            <w:r w:rsidR="00000000" w:rsidRPr="00000000" w:rsidDel="00000000">
              <w:rPr>
                <w:vertAlign w:val="superscript"/>
                <w:rtl w:val="0"/>
              </w:rPr>
              <w:t xml:space="preserve">1</w:t>
            </w:r>
            <w:r w:rsidR="00000000" w:rsidRPr="00000000" w:rsidDel="00000000">
              <w:rPr>
                <w:rtl w:val="0"/>
              </w:rPr>
              <w:t xml:space="preserve"> punktā minēto nevajadzīgo valsts kustamo mantu piesakās vismaz viena pašvaldība vai tās iestāde, to nodod attiecīgajai pašvaldībai vai tās iestādei. Ja uz nevajadzīgo valsts kustamo mantu piesakās vairākas pašvaldības vai to iestādes, valsts iestāde, kura atsavina kustamo mantu, jautājumu par mantas nodošanu atrisina, izvērtējot attiecīgās pašvaldības vai tās iestādes rīcībā esošo nodrošinājumu, kas nepieciešams sabiedriskās kārtības un drošības nodrošināšanai. Gadījumā, ja pašvaldību vai to iestāžu nodrošinājums ir līdzvērtīgs, jautājumu par mantas nodošanu atrisina pēc izlozes principa.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piedāvāto noteikumu 26.</w:t>
            </w:r>
            <w:r w:rsidR="00000000" w:rsidRPr="00000000" w:rsidDel="00000000">
              <w:rPr>
                <w:vertAlign w:val="superscript"/>
                <w:rtl w:val="0"/>
              </w:rPr>
              <w:t xml:space="preserve">2</w:t>
            </w:r>
            <w:r w:rsidR="00000000" w:rsidRPr="00000000" w:rsidDel="00000000">
              <w:rPr>
                <w:rtl w:val="0"/>
              </w:rPr>
              <w:t xml:space="preserve"> punkta redakciju, jo vārdu savienojums "vismaz viena pašvaldība" ietver arī divas un vairākas pašvaldības (sk., šā punkta otro teikumu), piemēram, pirmajā teikumā svītrojot vārdu "vismaz".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24-TA-848</w:t>
    </w:r>
    <w:r>
      <w:br/>
    </w:r>
    <w:r w:rsidR="00000000" w:rsidRPr="00000000" w:rsidDel="00000000">
      <w:rPr>
        <w:rtl w:val="0"/>
      </w:rPr>
      <w:t xml:space="preserve">Izdrukāts 26.07.2024.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24-TA-848</w:t>
    </w:r>
    <w:r>
      <w:br/>
    </w:r>
    <w:r w:rsidR="00000000" w:rsidRPr="00000000" w:rsidDel="00000000">
      <w:rPr>
        <w:rtl w:val="0"/>
      </w:rPr>
      <w:t xml:space="preserve">Izdrukāts 26.07.2024.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Atzinumi_24-TA-848.docx</dc:title>
</cp:coreProperties>
</file>

<file path=docProps/custom.xml><?xml version="1.0" encoding="utf-8"?>
<Properties xmlns="http://schemas.openxmlformats.org/officeDocument/2006/custom-properties" xmlns:vt="http://schemas.openxmlformats.org/officeDocument/2006/docPropsVTypes"/>
</file>