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10. decembra noteikumos Nr. 807 "Emisijas kvotu izsolīšanas instrumenta finansēto projektu atklāta konkursa "Siltumnīcefekta gāzu emisiju samazināšana Iekšlietu ministrijas sistēmas iestāžu un pašvaldību policijas institūciju ēkās"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pēc konkursa ietvaros atbalstāmo aktivitāšu īstenošanas vismaz projekta dzīves cikla laikā (amortizācijas periodā) vairāk nekā 50 % no ēkas platības tiks izmantots Iekšlietu ministrijas sistēmas iestāžu vai pašvaldības policijas institūciju funkciju īstenošanai. Amortizācijas periodu projekta iesniedzējs nosaka atbilstoši Nodrošinājuma valsts aģentūras vai attiecīgās pašvaldības izstrādātajai grāmatvedības politikai, kurā atzīst esošās ēkas pārbūves vai atjaunošanas izmaksas kā kapitālieguldījumu, ja tās būtiski palielina aktīva vērtību, uzlabo ēkas energoefektivitāti, funkcionalitāti un pagarina amortizācijas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projektu, ņemot vērā, ka Nodrošinājuma valsts aģentūras vai attiecīgās pašvaldības izstrādātā grāmatvedības politika ir iekšējs normatīvs akts, kas ir saistošs iestādei, tās darbiniekiem vai amatpersonām, attiecībā uz kurām tas izdots (sk. Valsts pārvaldes iekārtas likuma 72. panta ceturto daļu). Attiecīgi grāmatvedības politika nav saistoša privātpersonām un tās par saistošām nevar padarīt arī ar atsauci projektā. Aicinām nepieciešamības gadījumā to saturu pārņemt projekta tekstā vai ietvert līgumā par projekta īstenošanu. Alternatīvi lūdzam sniegt pamatotu skaidrojumu par atsauces "Nodrošinājuma valsts aģentūras vai attiecīgās pašvaldības izstrādātajai grāmatvedības politika" pieļaujamību, kā arī konkretizēt, kur attiecīgā informācija ir publicēta.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10. decembra noteikumos Nr. 807 "Emisijas kvotu izsolīšanas instrumenta finansēto projektu atklāta konkursa "Siltumnīcefekta gāzu emisiju samazināšana Iekšlietu ministrijas sistēmas iestāžu un pašvaldību policijas institūciju ēkās"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 punktu, ņemot vērā, ka tā redakcijā, salīdzinājumā ar spēkā esošo redakciju, nav konstatējamas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1.3. apakšsadaļu un nodrošināt tajā tiesību normu adresātam pilnīgus un precīzus projekta skaidrojumus. Vēršam uzmanību, ka, piemēram, nav skaidrots projekta 5. un 12. punkts, savukārt minētie grozījumi 3. pielikumā nav konstatējami, bet projekta 13. punkts skaidrots vispārīgi. Piemēram, nav norādīts, kāpēc īpaši uzsvērts, ka, ja finansējums ir mazāks nekā šo noteikumu 5. punktā minētais, konkursa otro un turpmākās kārtas izsludina ne agrāk kā sešus mēnešus pēc iepriekšējās konkursa kārtas izsludināšanas, un kāda ir rīcība, ja arī pēc 6 mēnešiem finanšu instruments ir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Neatbilstoši projekta redakcijai, skaidrots, ka uz 2. kārtu nevar pieteikties, pretendenti, kuri uz to ir pieteikušies un ir noraidīti.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skaidrojot ar projektu saistītās nianses, lūdzam ņemt vērā, ka saskaņā ar Līguma par Eiropas Savienības darbību 288. pantu „direktīvas tām dalībvalstīm, kurām tās adresētas, uzliek saistības attiecībā uz sasniedzamo rezultātu, bet ļauj šo valstu varasiestādēm noteikt to sasniegšanas formas un metodes”. Atšķirībā no regulām, direktīvas nav tieši piemērojams tiesību akts. Attiecīgi, minot no Eiropas Parlamenta un Padomes 2023. gada 13. septembra direktīvas (ES) 2023/1791 par energoefektivitāti un ar ko groza regulu (ES) 2023/955 izrietošo, vienlaikus lūdzam norādīt tiesību aktu, kurā konkrētie nosacījumi pārņemti.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izvērstāku skaidrojumu par projekta ietekmējamām sabiedrības grupām. Piemēram, kādas fiziskās personas un kā projekts tieši ietekmēs.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pēc konkursa ietvaros atbalstāmo aktivitāšu īstenošanas vismaz projekta dzīves cikla laikā (amortizācijas periodā) vairāk nekā 50 % no ēkas platības tiks izmantots Iekšlietu ministrijas sistēmas iestāžu vai pašvaldības policijas institūciju funkciju īstenošanai. Amortizācijas periodu projekta iesniedzējs nosaka atbilstoši Nodrošinājuma valsts aģentūras vai attiecīgās pašvaldības izstrādātajai grāmatvedības politikai, kurā atzīst esošās ēkas pārbūves vai atjaunošanas izmaksas kā kapitālieguldījumu, ja tās būtiski palielina aktīva vērtību, uzlabo ēkas energoefektivitāti, funkcionalitāti un pagarina amortizācijas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izvairoties no sinonīmu lietošanas, piemēram "projekta dzīves cikla laiks (amortizācijas periods)". Norādām, ka atbilstoši juridiskās tehnikas prasībām normatīvajā aktā nelieto sinonīmus un vienu lietu konsekventi sauc vienā un tajā pašā vārdā un sinonīma lietošana "()"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Konkursa ietvaros šo noteikumu </w:t>
            </w:r>
            <w:r w:rsidR="00000000" w:rsidRPr="00000000" w:rsidDel="00000000">
              <w:rPr>
                <w:rtl w:val="0"/>
              </w:rPr>
              <w:t xml:space="preserve">22.13.</w:t>
            </w:r>
            <w:r w:rsidR="00000000" w:rsidRPr="00000000" w:rsidDel="00000000">
              <w:rPr>
                <w:rtl w:val="0"/>
              </w:rPr>
              <w:t xml:space="preserve">, </w:t>
            </w:r>
            <w:r w:rsidR="00000000" w:rsidRPr="00000000" w:rsidDel="00000000">
              <w:rPr>
                <w:rtl w:val="0"/>
              </w:rPr>
              <w:t xml:space="preserve">22.14.</w:t>
            </w:r>
            <w:r w:rsidR="00000000" w:rsidRPr="00000000" w:rsidDel="00000000">
              <w:rPr>
                <w:rtl w:val="0"/>
              </w:rPr>
              <w:t xml:space="preserve">, </w:t>
            </w:r>
            <w:r w:rsidR="00000000" w:rsidRPr="00000000" w:rsidDel="00000000">
              <w:rPr>
                <w:rtl w:val="0"/>
              </w:rPr>
              <w:t xml:space="preserve">22.15.</w:t>
            </w:r>
            <w:r w:rsidR="00000000" w:rsidRPr="00000000" w:rsidDel="00000000">
              <w:rPr>
                <w:rtl w:val="0"/>
              </w:rPr>
              <w:t xml:space="preserve">, </w:t>
            </w:r>
            <w:r w:rsidR="00000000" w:rsidRPr="00000000" w:rsidDel="00000000">
              <w:rPr>
                <w:rtl w:val="0"/>
              </w:rPr>
              <w:t xml:space="preserve">22.16.</w:t>
            </w:r>
            <w:r w:rsidR="00000000" w:rsidRPr="00000000" w:rsidDel="00000000">
              <w:rPr>
                <w:rtl w:val="0"/>
              </w:rPr>
              <w:t xml:space="preserve">, </w:t>
            </w:r>
            <w:r w:rsidR="00000000" w:rsidRPr="00000000" w:rsidDel="00000000">
              <w:rPr>
                <w:rtl w:val="0"/>
              </w:rPr>
              <w:t xml:space="preserve">22.17.</w:t>
            </w:r>
            <w:r w:rsidR="00000000" w:rsidRPr="00000000" w:rsidDel="00000000">
              <w:rPr>
                <w:rtl w:val="0"/>
              </w:rPr>
              <w:t xml:space="preserve"> un </w:t>
            </w:r>
            <w:r w:rsidR="00000000" w:rsidRPr="00000000" w:rsidDel="00000000">
              <w:rPr>
                <w:rtl w:val="0"/>
              </w:rPr>
              <w:t xml:space="preserve">22.18.</w:t>
            </w:r>
            <w:r w:rsidR="00000000" w:rsidRPr="00000000" w:rsidDel="00000000">
              <w:rPr>
                <w:rtl w:val="0"/>
              </w:rPr>
              <w:t xml:space="preserve"> apakšpunktā</w:t>
            </w:r>
            <w:r w:rsidR="00000000" w:rsidRPr="00000000" w:rsidDel="00000000">
              <w:rPr>
                <w:rtl w:val="0"/>
              </w:rPr>
              <w:t xml:space="preserve"> minētās izmaksas nepārsniedz 10% no kopējām attiecināmajām izmaksām, ja projekta kopējo izmaksu summa ir līdz 500 000 (ieskaitot) </w:t>
            </w:r>
            <w:r w:rsidR="00000000" w:rsidRPr="00000000" w:rsidDel="00000000">
              <w:rPr>
                <w:i w:val="1"/>
                <w:rtl w:val="0"/>
              </w:rPr>
              <w:t xml:space="preserve">euro </w:t>
            </w:r>
            <w:r w:rsidR="00000000" w:rsidRPr="00000000" w:rsidDel="00000000">
              <w:rPr>
                <w:rtl w:val="0"/>
              </w:rPr>
              <w:t xml:space="preserve">ar pievienotās vērtības nodokli vai nepārsniedz 7% no kopējām attiecināmajām izmaksām, ja projekta kopējo izmaksu summa pārsniedz 500 000 </w:t>
            </w:r>
            <w:r w:rsidR="00000000" w:rsidRPr="00000000" w:rsidDel="00000000">
              <w:rPr>
                <w:i w:val="1"/>
                <w:rtl w:val="0"/>
              </w:rPr>
              <w:t xml:space="preserve">euro </w:t>
            </w:r>
            <w:r w:rsidR="00000000" w:rsidRPr="00000000" w:rsidDel="00000000">
              <w:rPr>
                <w:rtl w:val="0"/>
              </w:rPr>
              <w:t xml:space="preserve">ar pievienotās vērtības nodokli, neieskaitot finanšu rezervi.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plānoto grozījumu,  izvērtējot, vai nosacījums "neieskaitot finanšu rezervi" attiecināms tikai uz gadījumu, kad projekta kopējo izmaksu summa pārsniedz 500 000 euro ar pievienotās vērtības nodokli. Proti, no pašreizējās redakcijas saprotams, ka minētais nosacījums nav attiecināms uz gadījumiem, kad projekta kopējo izmaksu summa ir līdz 500 000 (ieskaitot) euro ar pievienotās vērtības nodokli.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 konkursa pirmās kārtas ietvaros ir veiktas pēc šo noteikumu stāšanās spēkā, taču ne vēlāk kā līdz projekta īstenošanas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formulējumu "projekta īstenošanas beigas" un to precizēt, tiesību normu adresātiem nodrošinot precīzu izpratni par to, kādas beigas ar to saprotamas. Piemēram, projekta 12. punktā analoģiskā tiesību normā lietots formulējums "projekta īstenošanas termiņa beigas".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Administratīvās vērtēšanas kritēriji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Plānojot grozījumus 3. pielikumā, vienlaikus lūdzam daļā "</w:t>
            </w:r>
            <w:r w:rsidR="00000000" w:rsidRPr="00000000" w:rsidDel="00000000">
              <w:rPr>
                <w:i w:val="1"/>
                <w:rtl w:val="0"/>
              </w:rPr>
              <w:t xml:space="preserve">Ministru kabineta "=TAP_DOK_DATUMS_GEN" noteikumu Nr. "=TAP_DOK_NUMURS" "Emisijas kvotu izsolīšanas instrumenta finansēto projektu atklāta konkursa "Siltumnīcefekta gāzu emisiju samazināšana Iekšlietu ministrijas sistēmas iestāžu un pašvaldību policijas institūciju ēkās" nolikums</w:t>
            </w:r>
            <w:r w:rsidR="00000000" w:rsidRPr="00000000" w:rsidDel="00000000">
              <w:rPr>
                <w:rtl w:val="0"/>
              </w:rPr>
              <w:t xml:space="preserve">"", nodrošināt precīzu atsauci uz Ministru kabineta 2024. gada 10. decembra noteikumiem Nr. 807 "Emisijas kvotu izsolīšanas instrumenta finansēto projektu atklāta konkursa "Siltumnīcefekta gāzu emisiju samazināšana Iekšlietu ministrijas sistēmas iestāžu un pašvaldību policijas institūciju ēkās"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25-TA-1802</w:t>
    </w:r>
    <w:r>
      <w:br/>
    </w:r>
    <w:r w:rsidR="00000000" w:rsidRPr="00000000" w:rsidDel="00000000">
      <w:rPr>
        <w:rtl w:val="0"/>
      </w:rPr>
      <w:t xml:space="preserve">Izdrukāts 05.11.2025. 17.42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25-TA-1802</w:t>
    </w:r>
    <w:r>
      <w:br/>
    </w:r>
    <w:r w:rsidR="00000000" w:rsidRPr="00000000" w:rsidDel="00000000">
      <w:rPr>
        <w:rtl w:val="0"/>
      </w:rPr>
      <w:t xml:space="preserve">Izdrukāts 05.11.2025. 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Atzinumi_25-TA-1802.docx</dc:title>
</cp:coreProperties>
</file>

<file path=docProps/custom.xml><?xml version="1.0" encoding="utf-8"?>
<Properties xmlns="http://schemas.openxmlformats.org/officeDocument/2006/custom-properties" xmlns:vt="http://schemas.openxmlformats.org/officeDocument/2006/docPropsVTypes"/>
</file>