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finansēto projektu atklāta konkursa "Atjaunīgo energoresursu izmantošanas veicināšana daudzdzīvokļu ēkās, valsts un pašvaldību ēkās un energokopienās"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projektam atbalsta sniegšana konkursa ietvaros kvalificējama kā komercdarbības atbalsts, un tas tiek sniegts saskaņā ar Komisijas 2023.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2023/2831), konkursa ietvaros pieļaujamā atbalsta intensitāte tiek noteikta, ievērojot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noteikto konkursa ietvaros pieļaujamo atbalsta intensitāti.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15.punktā ir noteiktas maksimālās intensitātes gan atbalstam, ko sniedz saskaņā ar Komisijas regulu Nr.2023/2831, gan arī noteikumu projekta 15.punkta pēdējā teikumā ir ietverta informācija, kura arī attiecināma uz atbalstu, kas tiek piešķirts saskaņā ar Komisijas regulu Nr. 651/2014. Tādēļ aicinām precizēt noteikumu projekta 16.punkta redakciju, lai novērstu nepareizas interpretācijas risku un lai no minētās normas tvēruma būtu viennozīmīgi skaidrs, ka de minimis atbalstam konkursa ietvaros pieļaujamā atbalsta intensitāte tiek noteikta, ievērojot šo noteikumu 15. punktā noteikto de minimis atbalsta piemērojamo atbalsta intensitāti 70% vai 80% apmērā, un, kura nav saistīta ar komercdarbības atbalsta piešķiršanu saskaņā ar Komisijas regulu 651/2014.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23.9. ar iekārtu uzstādīšanu saistītās būvniecības (tajā skaitā materiālu) izmaksas, tai skaitā autoruzraudzība un būvuzraudzība;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izteikto iebildumu, kas ietverts Izziņas 12.punktā. Atkārtoti vēršam uzmanību, ka Komisijas regulas Nr.651/2014 41.panta 6.punkts paredz, ka attiecināmās izmaksas ir kopējās ieguldījumu izmaksas. Skaidrojam, ka noteikumu projekta 23.9. apakšpunktā minētās izmaksas ir attiecināmas tikai gadījumā, ja tās ir tiešā veidā saistītas ar ieguldījuma veikšanu, jo tad tās var tikt uzskatītas par tādām, kas veido kopējās ieguldījumu izmaksas. Lūdzam attiecīgi precizēt noteikumu projekta 23.9. apakšpunktā minēto, norādot, ka ar iekārtu uzstādīšanu saistītās būvniecības (tajā skaitā materiālu) izmaksas, tai skaitā autoruzraudzība un būvuzraudzība ir attiecināmas, ja tās tiek iekļautas kopējās ieguldījuma izmaksās.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izteikto iebildumu, kas ietverts Izziņas 51.punktā  attiecībā uz anotācijas 1.3.sadaļā ietverto informāciju “</w:t>
            </w:r>
            <w:r w:rsidR="00000000" w:rsidRPr="00000000" w:rsidDel="00000000">
              <w:rPr>
                <w:i w:val="1"/>
                <w:rtl w:val="0"/>
              </w:rPr>
              <w:t xml:space="preserve">konkursa ietvaros finansējums energokopienām netiek piešķirts, ja projekta ietvaros plānots īstenot komercdarbības projektu, t.i., atbalsts netiek piešķirts tādu projektu īstenošanai, kuru rezultātā projekta iesniedzējs plāno nodarboties ar enerģijas tirdzniecību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 atbilstošu normu papildināt arī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precizēt anotācijas 1.3.sadaļā ietverto informāciju “</w:t>
            </w:r>
            <w:r w:rsidR="00000000" w:rsidRPr="00000000" w:rsidDel="00000000">
              <w:rPr>
                <w:i w:val="1"/>
                <w:rtl w:val="0"/>
              </w:rPr>
              <w:t xml:space="preserve">ja iesniegtais projekts kvalificējams kā komercdarbības atbalsta projekts”</w:t>
            </w:r>
            <w:r w:rsidR="00000000" w:rsidRPr="00000000" w:rsidDel="00000000">
              <w:rPr>
                <w:rtl w:val="0"/>
              </w:rPr>
              <w:t xml:space="preserve">, attiecīgo teikuma daļu aizvietojot ar tekstu “</w:t>
            </w:r>
            <w:r w:rsidR="00000000" w:rsidRPr="00000000" w:rsidDel="00000000">
              <w:rPr>
                <w:i w:val="1"/>
                <w:rtl w:val="0"/>
              </w:rPr>
              <w:t xml:space="preserve">ja finansējuma piešķiršana projekta ietvaros kvalificējas kā komercdarbības atbalsts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Modernizācijas fonda finansēto projektu atklāta konkursa "Atjaunīgo energoresursu izmantošanas veicināšana daudzdzīvokļu ēkās, valsts un pašvaldību ēkās un energokopienās"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Secinām, ka atbilstoši FM izteiktajam iebildumam, kas ietverts Izziņas 48.punktā, tika veikti precizējumi 1.pielikumā un atsevišķi punkti no apliecinājuma sadaļas, kas attiektos arī uz Komisijas regulas Nr.651/2014 prasību pārbaudi, tika svītroti. Taču vēršam uzmanību, ka, piemēram, grūtības nonākuša uzņēmuma kritērija pārbaude atbilstoši Komisijas regulas Nr.651/2014 2.panta 18.punktam tiek veikta, pamatojoties uz projekta iesniedzēja apliecinājumu. Aicinām saglabāt iepriekš 1.pielikumā ietvertos 7.4.- 7.7.apakšpunktus, vienlaikus papildinot tos ar norādi iekavās, ka attiecīgais apliecinājums ir jāsniedz gadījumā, ja atbalsts tiek piešķirts saskaņā ar Komisijas regulu Nr.651/2014.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Konkursa ietvaros pieļaujamā atbalsta intensitāte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7.5. </w:t>
            </w:r>
            <w:r w:rsidR="00000000" w:rsidRPr="00000000" w:rsidDel="00000000">
              <w:rPr>
                <w:rtl w:val="0"/>
              </w:rPr>
              <w:t xml:space="preserve">apakšpunktā</w:t>
            </w:r>
            <w:r w:rsidR="00000000" w:rsidRPr="00000000" w:rsidDel="00000000">
              <w:rPr>
                <w:rtl w:val="0"/>
              </w:rPr>
              <w:t xml:space="preserve"> minētajam projekta iesniedzējam nepārsniedz 70 % no projekta kopējām attiecināmajām izmaksām. Konkursa ietvaros pieļaujamā atbalsta intensitāte šo noteikumu </w:t>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7.3.</w:t>
            </w:r>
            <w:r w:rsidR="00000000" w:rsidRPr="00000000" w:rsidDel="00000000">
              <w:rPr>
                <w:rtl w:val="0"/>
              </w:rPr>
              <w:t xml:space="preserve"> un </w:t>
            </w:r>
            <w:r w:rsidR="00000000" w:rsidRPr="00000000" w:rsidDel="00000000">
              <w:rPr>
                <w:rtl w:val="0"/>
              </w:rPr>
              <w:t xml:space="preserve">7.4. </w:t>
            </w:r>
            <w:r w:rsidR="00000000" w:rsidRPr="00000000" w:rsidDel="00000000">
              <w:rPr>
                <w:rtl w:val="0"/>
              </w:rPr>
              <w:t xml:space="preserve">apakšpunktā</w:t>
            </w:r>
            <w:r w:rsidR="00000000" w:rsidRPr="00000000" w:rsidDel="00000000">
              <w:rPr>
                <w:rtl w:val="0"/>
              </w:rPr>
              <w:t xml:space="preserve"> minētajam projekta iesniedzējam nepārsniedz 80 % no projekta kopējām attiecināmajām izmaksām. Ja atbalsts konkursa ietvaros atbalstāmo aktivitāšu īstenošanai tiek piešķirts saskaņā ar regulu Nr. 651/2014, konkursa ietvaros pieļaujamā atbalsta intensitāte tiek noteikta saskaņā ar šo noteikumu </w:t>
            </w:r>
            <w:r w:rsidR="00000000" w:rsidRPr="00000000" w:rsidDel="00000000">
              <w:rPr>
                <w:rtl w:val="0"/>
              </w:rPr>
              <w:t xml:space="preserve">17.</w:t>
            </w:r>
            <w:r w:rsidR="00000000" w:rsidRPr="00000000" w:rsidDel="00000000">
              <w:rPr>
                <w:rtl w:val="0"/>
              </w:rPr>
              <w:t xml:space="preserve"> un </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attiecībā uz projektiem, kuru ietvaros atbalsts tiek piešķirts saskaņā ar regulu Nr. 651/2014, pieļaujamā atbalsta intensitāte tiek noteikta saskaņā ar šo noteikumu 17. vai 18.punktu, nevis vienlaicīgi ar 17. un 18.punktiem, līdz ar to, lai nodrošinātu korektu nosacījuma piemērošanu, aicinām noteikumu projekta 15.punkta pēdējā teikumā saikli "un" aizstāt ar saikli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projektam atbalsta sniegšana konkursa ietvaros kvalificējama kā komercdarbības atbalsts, un tas tiek sniegts saskaņā ar regulas Nr. 651/2014 41. pantu, atbalsta intensitāte šo noteikumu </w:t>
            </w:r>
            <w:r w:rsidR="00000000" w:rsidRPr="00000000" w:rsidDel="00000000">
              <w:rPr>
                <w:rtl w:val="0"/>
              </w:rPr>
              <w:t xml:space="preserve">20.1. </w:t>
            </w:r>
            <w:r w:rsidR="00000000" w:rsidRPr="00000000" w:rsidDel="00000000">
              <w:rPr>
                <w:rtl w:val="0"/>
              </w:rPr>
              <w:t xml:space="preserve">apakšpunktā</w:t>
            </w:r>
            <w:r w:rsidR="00000000" w:rsidRPr="00000000" w:rsidDel="00000000">
              <w:rPr>
                <w:rtl w:val="0"/>
              </w:rPr>
              <w:t xml:space="preserve"> minētās aktivitātes ietvaros saskaņā ar regulas Nr. 651/2014  41. panta 7. un 8. punktu nepārsniedz 45 % lielajiem komersantiem, 55 % - vidējiem komersantiem un 65 % - mazajiem un sīkajiem (mikro) komersantiem no atjaunīgo energoresursu iekārtas attiecināmajām izmaksām. Aktivitātes ietvaros attiecināmās izmaksas ir regulas Nr. 651/2014 41. panta 6. punktā noteiktās kopējās ieguldījumu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attiecība uz uzņēmuma lielumu noteikumu projektā būtu jālieto tas jēdziens, kas tiek lietots Ministru kabineta 2014.gada 16.decembra noteikumos Nr.776 "Kārtība, kādā komercsabiedrības deklarē savu atbilstību mazās (sīkās) un vidējās komercsabiedrības statusam". Lūdzam precizēt termina "komersants" lietojumu visā noteikumu projektā (piemēram, noteikumu projekta 17., 18., 41, 49.4., 53.3., 53.4.punktos ir jālieto termins "komercsabiedrība", nevis "komersants"). Ņemot vērā to, ka atbilstoši Komercdarbības atbalsta kontroles likuma 1.panta otrās daļas 9.punktam, ar terminu “komercsabiedrība” saprot, ne vien juridisko personu, bet arī fizisko personu, kas ir būtiski korekta komercdarbības atbalsta jēdziena piemērošanai, lūdzam pārskatīt un noteikumu projekta ietvaros konsekventi lietot šo jēdzienu, kur attiecināms. Vienlaikus aicinām noteikumu projektu papildināt ar "komercsabiedrības" definīciju atbilstoši Komercdarbības atbalsta kontroles likuma 1.panta otrajā daļā 10.punktā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Jebkuru projekta izmaksu sadārdzinājumu sedz no finansējuma saņēmēja finanšu līdzekļiem, kas ir brīvi no jebkāda komercdarbības atbalsta.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projektos, kuros atbalstu sniedz kā de minimis atbalstu, izmaksu sadārdzinājumu ir iespējams segt arī kā de minimis atbalstu. Noteikumu projekta 19.punkts šī brīža redakcijā paredz stingrāku nosacījumu nekā tas ir noteikts Komisijas regulā Nr.2023/2831. Aicinām izvērtēt, vai arī projektos, kuros atbalsts tiek piešķirts saskaņā ar de minimis regulējumu, ir jāparedz stingrāks nosacījums, ka jebkuru projekta izmaksu sadārdzinājumu sedz no finansējuma saņēmēja finanšu līdzekļiem, kas ir brīvi no jebkāda komercdarbības atbalsta, vai tomēr tiek pieļauta iespējamība projekta sadārdzinājumu piešķirt kā de minimis atbalstu, pirms piešķiršanas izvērtējot atbilstību visām piemērojamā de minimis regulējuma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Izmaksas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minētajās aktivitātēs uzskatāmas par attiecināmām, ja ar saimniecisko darbību nesaistīta projekta ietvaros īstenotās aktivitātes izmanto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paredzētās papildinošās saimnieciskās darbības veikšanai, kas kopumā nepārsniedz 20 % no to gada jaudas (platības, laika vai finanšu izteiksmē) un papildpakalpojumu sniegšanai.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31.punkta redakciju, vārdus “</w:t>
            </w:r>
            <w:r w:rsidR="00000000" w:rsidRPr="00000000" w:rsidDel="00000000">
              <w:rPr>
                <w:i w:val="1"/>
                <w:rtl w:val="0"/>
              </w:rPr>
              <w:t xml:space="preserve">īstenotās aktivitātes izmanto</w:t>
            </w:r>
            <w:r w:rsidR="00000000" w:rsidRPr="00000000" w:rsidDel="00000000">
              <w:rPr>
                <w:rtl w:val="0"/>
              </w:rPr>
              <w:t xml:space="preserve">” aizstājot ar “</w:t>
            </w:r>
            <w:r w:rsidR="00000000" w:rsidRPr="00000000" w:rsidDel="00000000">
              <w:rPr>
                <w:i w:val="1"/>
                <w:rtl w:val="0"/>
              </w:rPr>
              <w:t xml:space="preserve">izveidoto infrastruktūru izmanto</w:t>
            </w:r>
            <w:r w:rsidR="00000000" w:rsidRPr="00000000" w:rsidDel="00000000">
              <w:rPr>
                <w:rtl w:val="0"/>
              </w:rPr>
              <w:t xml:space="preserve">”, ņemot vērā, ka noteikumu projekta 31.punktā ietvertais nosacījums ir attiecināms uz infrastruktūru, nevis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pieņemts lēmums par projekta iesnieguma apstiprināšanu konkursa ietvaros, Vides investīciju fonds sniedz šo noteikumu </w:t>
            </w:r>
            <w:r w:rsidR="00000000" w:rsidRPr="00000000" w:rsidDel="00000000">
              <w:rPr>
                <w:rtl w:val="0"/>
              </w:rPr>
              <w:t xml:space="preserve">48. </w:t>
            </w:r>
            <w:r w:rsidR="00000000" w:rsidRPr="00000000" w:rsidDel="00000000">
              <w:rPr>
                <w:rtl w:val="0"/>
              </w:rPr>
              <w:t xml:space="preserve">punktā</w:t>
            </w:r>
            <w:r w:rsidR="00000000" w:rsidRPr="00000000" w:rsidDel="00000000">
              <w:rPr>
                <w:rtl w:val="0"/>
              </w:rPr>
              <w:t xml:space="preserve"> minēto dzīvokļu īpašniekiem informāciju par atbalstam atbilstošo </w:t>
            </w:r>
            <w:r w:rsidR="00000000" w:rsidRPr="00000000" w:rsidDel="00000000">
              <w:rPr>
                <w:i w:val="1"/>
                <w:rtl w:val="0"/>
              </w:rPr>
              <w:t xml:space="preserve">de minimis</w:t>
            </w:r>
            <w:r w:rsidR="00000000" w:rsidRPr="00000000" w:rsidDel="00000000">
              <w:rPr>
                <w:rtl w:val="0"/>
              </w:rPr>
              <w:t xml:space="preserve"> atbalstu, ja attiecināms.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Piešķirot atbalstu, Vides investīciju fonds pārbauda dzīvokļu īpašnieku atbilstību </w:t>
            </w:r>
            <w:r w:rsidR="00000000" w:rsidRPr="00000000" w:rsidDel="00000000">
              <w:rPr>
                <w:i w:val="1"/>
                <w:rtl w:val="0"/>
              </w:rPr>
              <w:t xml:space="preserve">de minimis</w:t>
            </w:r>
            <w:r w:rsidR="00000000" w:rsidRPr="00000000" w:rsidDel="00000000">
              <w:rPr>
                <w:rtl w:val="0"/>
              </w:rPr>
              <w:t xml:space="preserve"> atbalsta saņemšanas nosacījumiem uz atbalsta piešķiršanas brīdi.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de minimis atbalstu šo noteikumu ietvaros var sniegt ne tikai dzīvokļu īpašniekiem, bet arī citiem subjektiem, kas minēti noteikumu projekta 7.punktā, aicinām precizēt noteikumu projekta 51.punktā lietoto jēdzienu "dzīvokļu īpašnieki" uz "projekta iesniedzēji".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62.2.10.5. par atjaunīgo energoresursu iekārtu iegādes un uzstādīšanas sadārdzinājuma segšanu no finansējuma saņēmēja finanšu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62.2.10.5.apakšpunktu ar atrunu, ka sadārdzinājuma izmaksas ir sedzamas no tādiem finansējuma saņēmēja finanšu līdzekļiem, </w:t>
            </w:r>
            <w:r w:rsidR="00000000" w:rsidRPr="00000000" w:rsidDel="00000000">
              <w:rPr>
                <w:u w:val="single"/>
                <w:rtl w:val="0"/>
              </w:rPr>
              <w:t xml:space="preserve">kas ir brīvi no jebkāda komercdarbības atbalsta.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ietverta informācija “</w:t>
            </w:r>
            <w:r w:rsidR="00000000" w:rsidRPr="00000000" w:rsidDel="00000000">
              <w:rPr>
                <w:i w:val="1"/>
                <w:rtl w:val="0"/>
              </w:rPr>
              <w:t xml:space="preserve">Ja pēc projekta līguma noslēgšanas tajā objektīvu iemeslu dēļu nepieciešams izdarīt grozījumus, tostarp attiecībā uz projekta īstenošanas termiņa pagarinājumu, kas nepārsniedz šī noteikumu projekta 3. punktā noteikto maksimāli konkursa ietvaros apstiprinātā projekta īstenošanas periodu, finansējums saņēmējs atbilstoši šo noteikumu XII. nodaļā noteiktajai kārtībai ar attiecīgu pieprasījumu vēršas Vides investīciju fondā.”. </w:t>
            </w:r>
            <w:r w:rsidR="00000000" w:rsidRPr="00000000" w:rsidDel="00000000">
              <w:rPr>
                <w:rtl w:val="0"/>
              </w:rPr>
              <w:t xml:space="preserve">Kā jau tika minēts Finanšu ministrijas iebildumā, kas ietverts Izziņas 41.punktā, vēršam uzmanību, ka gadījumā, ja finansējums projekta ietvaros tika piešķirts kā de minimis atbalsts un plānotie grozījumi paredzētu papildu finansējuma piešķiršanu, tas būtu kvalificējams kā jauns de minimis atbalsts, par ko būtu veicams jauns izvērtējums atbilstoši de minimis atbalsta regulējumam. Savukārt gadījumā, ja finansējums projekta ietvaros tika piešķirts saskaņā ar Komisijas regulu Nr.651/2014, būtu jāveic izvērtējums par plānoto grozījumu ietekmi uz stimulējošās ietekmes prasības izpildi, proti, grozījumi nevarētu būt tādi, kas pārkāptu Komisijas regulu Nr.651/2014 6.panta 2.punktā noteikto. Tādējādi lūdzam ar atbilstošu skaidrojumu papildināt noteikumu projekta anotāciju, nosakot, ka atbalsta sniedzējam pirms grozījumu veikšanas līgumā ir jāveic to izvērtējumu no piemērojamā komercdarbības atbalsta regulējuma viedokļa, nodrošinot, ka netiek pārkāptas piemērojamās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 punkta otro teikumu, norādot, ka Modernizācijas fonda finansējums projektu īstenošanai tiks ieplānots Klimata un enerģētikas ministrijas valsts budžeta programmas  33.00.00 "Emisijas kvotu izsoļu ieņēmumu instrumenti" apakšprogrammā 33.03.00 "Modernizācijas fonda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 (Ilze Kote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24-TA-2826</w:t>
    </w:r>
    <w:r>
      <w:br/>
    </w:r>
    <w:r w:rsidR="00000000" w:rsidRPr="00000000" w:rsidDel="00000000">
      <w:rPr>
        <w:rtl w:val="0"/>
      </w:rPr>
      <w:t xml:space="preserve">Izdrukāts 08.08.2025. 11.21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24-TA-2826</w:t>
    </w:r>
    <w:r>
      <w:br/>
    </w:r>
    <w:r w:rsidR="00000000" w:rsidRPr="00000000" w:rsidDel="00000000">
      <w:rPr>
        <w:rtl w:val="0"/>
      </w:rPr>
      <w:t xml:space="preserve">Izdrukāts 08.08.2025. 11.21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Atzinumi_24-TA-2826.docx</dc:title>
</cp:coreProperties>
</file>

<file path=docProps/custom.xml><?xml version="1.0" encoding="utf-8"?>
<Properties xmlns="http://schemas.openxmlformats.org/officeDocument/2006/custom-properties" xmlns:vt="http://schemas.openxmlformats.org/officeDocument/2006/docPropsVTypes"/>
</file>