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2021. gada 21. decembra noteikumos Nr. 896 "Emisijas kvotu izsolīšanas instrumenta finansēto projektu atklāta konkursa "Siltumnīcefekta gāzu emisijas samazināšana transporta sektorā – atbalsts bezemisiju un mazemisiju transportlīdzekļu iegādei" nolikums" (Latvijas Vēstnesis, 2021, 249. nr.; 2022, 233. nr.; 2023, 119.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20.jūnijā Saeima pieņēma likumu “Grozījumi Bērnu tiesību aizsardzības likumā” (Nr.522/Lp14), kas paredz paplašināt daudzbērnu ģimenes definīciju, proti, papildināt 1.panta 16.punktu (“daudzbērnu ģimene”) ar vārdiem un skaitli “vai pilda 11 mēnešu perioda valsts aizsardzības dienestu”. Likums stājas spēkā nākamajā dienā pēc tā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12., 13., 15., 16., 18. un 19.punktu.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Venta-Kittele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26.06.2024.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26.06.2024.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Atzinumi_24-TA-512.docx</dc:title>
</cp:coreProperties>
</file>

<file path=docProps/custom.xml><?xml version="1.0" encoding="utf-8"?>
<Properties xmlns="http://schemas.openxmlformats.org/officeDocument/2006/custom-properties" xmlns:vt="http://schemas.openxmlformats.org/officeDocument/2006/docPropsVTypes"/>
</file>