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sniegto skaidrojumu "</w:t>
            </w:r>
            <w:r w:rsidR="00000000" w:rsidRPr="00000000" w:rsidDel="00000000">
              <w:rPr>
                <w:i w:val="1"/>
                <w:rtl w:val="0"/>
              </w:rPr>
              <w:t xml:space="preserve">Sociālie uzņēmumi saskaņā ar Sociālā uzņēmuma likumu var būt vienīgi sabiedrības ar ierobežotu atbildību, tādēļ, ņemot vērā arī to, ka atbilstoši Noteikumu projekta 15. punktam gala labuma guvējam jāatbilst sīkā (mikro), mazā, vidējā vai lielā komersanta statusam saskaņā ar Komisijas regulas Nr. 651/2014 I pielikuma 1. pantā noteikto, arī sociālajiem uzņēmumiem jāievēro attiecīgās prasības, lai to klasificētu kā sīko (mikro), mazo, vidējo vai lielo komersantu</w:t>
            </w:r>
            <w:r w:rsidR="00000000" w:rsidRPr="00000000" w:rsidDel="00000000">
              <w:rPr>
                <w:rtl w:val="0"/>
              </w:rPr>
              <w:t xml:space="preserve">.", jo, pirmkārt, MVU statusu pārbauda atbilstoši visam Komisijas regulas Nr. 651/2014 I pielikumam, nevis atsevišķajam tā pantam, un, otrkārt, lielā uzņēmuma definīcija nav aptverta ar Komisijas regulas Nr. 651/2014 I 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MK noteikumu 60.punktu un anotācijas 1.3.sadaļas 4.punktu lūdzam ņemt vērā Padomes īstenošanas lēmumā par Latvijas Atveseļošanas un noturības plāna novērtējuma apstiprināšanu (CID) noteikto, kā arī sniegt anotācijā sīkāku skaidrojumu, kādas tieši atļaujas domātas.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 (Sanda Blumberga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ar noteikumu projektu ir paredzēts pagarināt atbalsta programmas darbības termiņu, saskaņā ar Komisijas 2004. gada 21. aprīļa Regulas (EK) Nr. 794/2004, ar ko īsteno Padomes Regulu (EK) Nr. 659/1999, ar kuru nosaka sīki izstrādātus noteikumus EK līguma 93. panta piemērošanai (turpmāk – Komisijas regula Nr. 794/2004) 4. panta 2.daļu, par to būtu nepieciešams nosūtīt Eiropas Komisijai informāciju par izmaiņām atbalsta programmā. Ievērojot minēto, lai nodrošinātu noteikumu projekta atbilstību komercdarbības atbalsta kontroles regulējumam, lūdzam precizēt noteikumu projekta anotācijas V sadaļu, papildinot to ar informāciju par nepieciešamību 20 darba dienu laikā pēc noteikumu projekta spēkā stāšanās nosūtīt kopsavilkuma informāciju par plānotajām izmaiņām. Paziņojums Eiropas Komisijai nosūtāms, izmantojot SANI 2 sistēmu atbilstoši kārtībai, kas noteikta Ministru kabineta 2014. gada 16. decembra noteikumos Nr. 759 "Kārtība, kādā Eiropas Komisijā iesniedz atbalsta programmu un individuālo atbalsta projektu paziņojumus un kopsavilkuma informāciju, un kārtība, kādā piešķir un anulē elektroniskās sistēmas lietošanas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sīkais (mikro), mazais un vidējais komersants – komersants, kas atbilst Komisijas regulas Nr. </w:t>
            </w:r>
            <w:r w:rsidR="00000000" w:rsidRPr="00000000" w:rsidDel="00000000">
              <w:rPr>
                <w:rtl w:val="0"/>
              </w:rPr>
              <w:t xml:space="preserve">651/2014</w:t>
            </w:r>
            <w:r w:rsidR="00000000" w:rsidRPr="00000000" w:rsidDel="00000000">
              <w:rPr>
                <w:rtl w:val="0"/>
              </w:rPr>
              <w:t xml:space="preserve"> I pielikuma 2. pantam;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kāpēc attiecībā uz sīkā (mikro), mazā, vidējā vai lielā komersanta statusu tiek likta atsauce tikai uz Komisijas regulas Nr. 651/2014 I pielikuma 2. pantu, kas pēc būtības ir tikai viena no normām, kā pārbaudīt sīkā (mikro), mazā, vidējā vai lielā komersanta statusu. Lūdzam precizēt šo normu, liekot atsauci uz visu Komisijas regulas Nr. 651/2014 I pielikumu, nevis tikai tā 2.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atbilst sīkā (mikro), mazā vai vidējā komersanta statusam saskaņā ar šo noteikumu </w:t>
            </w:r>
            <w:r w:rsidR="00000000" w:rsidRPr="00000000" w:rsidDel="00000000">
              <w:rPr>
                <w:rtl w:val="0"/>
              </w:rPr>
              <w:t xml:space="preserve">2.10. </w:t>
            </w:r>
            <w:r w:rsidR="00000000" w:rsidRPr="00000000" w:rsidDel="00000000">
              <w:rPr>
                <w:rtl w:val="0"/>
              </w:rPr>
              <w:t xml:space="preserve">apakšpunktā</w:t>
            </w:r>
            <w:r w:rsidR="00000000" w:rsidRPr="00000000" w:rsidDel="00000000">
              <w:rPr>
                <w:rtl w:val="0"/>
              </w:rPr>
              <w:t xml:space="preserve"> vai lielā komersanta statusam saskaņā ar šo noteikumu </w:t>
            </w:r>
            <w:r w:rsidR="00000000" w:rsidRPr="00000000" w:rsidDel="00000000">
              <w:rPr>
                <w:rtl w:val="0"/>
              </w:rPr>
              <w:t xml:space="preserve">2.6. </w:t>
            </w:r>
            <w:r w:rsidR="00000000" w:rsidRPr="00000000" w:rsidDel="00000000">
              <w:rPr>
                <w:rtl w:val="0"/>
              </w:rPr>
              <w:t xml:space="preserve">apakšpunktā</w:t>
            </w:r>
            <w:r w:rsidR="00000000" w:rsidRPr="00000000" w:rsidDel="00000000">
              <w:rPr>
                <w:rtl w:val="0"/>
              </w:rPr>
              <w:t xml:space="preserve"> noteikto. Kritērijs neattiecas uz šo noteikumu </w:t>
            </w:r>
            <w:r w:rsidR="00000000" w:rsidRPr="00000000" w:rsidDel="00000000">
              <w:rPr>
                <w:rtl w:val="0"/>
              </w:rPr>
              <w:t xml:space="preserve">34.1.3.</w:t>
            </w:r>
            <w:r w:rsidR="00000000" w:rsidRPr="00000000" w:rsidDel="00000000">
              <w:rPr>
                <w:rtl w:val="0"/>
              </w:rPr>
              <w:t xml:space="preserve"> un </w:t>
            </w:r>
            <w:r w:rsidR="00000000" w:rsidRPr="00000000" w:rsidDel="00000000">
              <w:rPr>
                <w:rtl w:val="0"/>
              </w:rPr>
              <w:t xml:space="preserve">34.1.4. </w:t>
            </w:r>
            <w:r w:rsidR="00000000" w:rsidRPr="00000000" w:rsidDel="00000000">
              <w:rPr>
                <w:rtl w:val="0"/>
              </w:rPr>
              <w:t xml:space="preserve">apakšpunktā</w:t>
            </w:r>
            <w:r w:rsidR="00000000" w:rsidRPr="00000000" w:rsidDel="00000000">
              <w:rPr>
                <w:rtl w:val="0"/>
              </w:rPr>
              <w:t xml:space="preserve"> noteiktajiem gala labuma guvējiem;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34.2.apakšpunkta redakcijā ietverto "</w:t>
            </w:r>
            <w:r w:rsidR="00000000" w:rsidRPr="00000000" w:rsidDel="00000000">
              <w:rPr>
                <w:i w:val="1"/>
                <w:rtl w:val="0"/>
              </w:rPr>
              <w:t xml:space="preserve">Kritērijs neattiecas uz šo noteikumu 34.1.3. un 34.1.4. apakšpunktā noteiktajiem gala labuma guvējiem</w:t>
            </w:r>
            <w:r w:rsidR="00000000" w:rsidRPr="00000000" w:rsidDel="00000000">
              <w:rPr>
                <w:rtl w:val="0"/>
              </w:rPr>
              <w:t xml:space="preserve">" nosacījumu, jo gadījumos, kad noteikumu projekta 34.1.3. un 34.1.4. apakšpunktā minētie subjekti pretendē uz komercdarbības atbalsta saņemšanu, attiecīgās prasības piemērošana ir obligāta.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34.4.3. tam nav pasludināts projekta iesniedzēja maksātnespējas process, ierosināta tiesiskās aizsardzības procesa lieta vai tiek īstenots tiesiskās aizsardzības process, apturēta vai pārtraukta projekta iesniedzēja saimnieciskā darbība vai projekta iesniedzējs tiek likvidēts. Kritērijs neattiecas uz šo noteikumu </w:t>
            </w:r>
            <w:r w:rsidR="00000000" w:rsidRPr="00000000" w:rsidDel="00000000">
              <w:rPr>
                <w:rtl w:val="0"/>
              </w:rPr>
              <w:t xml:space="preserve">34.1.3.</w:t>
            </w:r>
            <w:r w:rsidR="00000000" w:rsidRPr="00000000" w:rsidDel="00000000">
              <w:rPr>
                <w:rtl w:val="0"/>
              </w:rPr>
              <w:t xml:space="preserve"> un </w:t>
            </w:r>
            <w:r w:rsidR="00000000" w:rsidRPr="00000000" w:rsidDel="00000000">
              <w:rPr>
                <w:rtl w:val="0"/>
              </w:rPr>
              <w:t xml:space="preserve">34.1.4. </w:t>
            </w:r>
            <w:r w:rsidR="00000000" w:rsidRPr="00000000" w:rsidDel="00000000">
              <w:rPr>
                <w:rtl w:val="0"/>
              </w:rPr>
              <w:t xml:space="preserve">apakšpunktā</w:t>
            </w:r>
            <w:r w:rsidR="00000000" w:rsidRPr="00000000" w:rsidDel="00000000">
              <w:rPr>
                <w:rtl w:val="0"/>
              </w:rPr>
              <w:t xml:space="preserve"> noteiktajiem gala labuma guvējiem;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34.4.3. apakšpunktu, paredzot, ka attiecībā uz gala labuma guvēju, kas pretendē uz atbalstu saskaņā ar Komisijas regulu Nr. 651/2014, tiks nodrošināta pārbaude par tā neatbilstību Komisijas regulas Nr. 651/2014 2. panta 18.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Šo noteikumu </w:t>
            </w:r>
            <w:r w:rsidR="00000000" w:rsidRPr="00000000" w:rsidDel="00000000">
              <w:rPr>
                <w:rtl w:val="0"/>
              </w:rPr>
              <w:t xml:space="preserve">27.</w:t>
            </w:r>
            <w:r w:rsidR="00000000" w:rsidRPr="00000000" w:rsidDel="00000000">
              <w:rPr>
                <w:rtl w:val="0"/>
              </w:rPr>
              <w:t xml:space="preserve"> punktā</w:t>
            </w:r>
            <w:r w:rsidR="00000000" w:rsidRPr="00000000" w:rsidDel="00000000">
              <w:rPr>
                <w:rtl w:val="0"/>
              </w:rPr>
              <w:t xml:space="preserve"> minētais gala labuma guvējs var izvēlēties pakalpojuma sniedzēju investīciju projekta īstenošanai no Eiropas digitālās inovācijas centra izveidotā Latvijā pieejamu standartizētu digitālās transformācijas risinājumu kataloga. Veicot pakalpojuma sniedzēja izvēli no kataloga, gala labuma guvējam ir jāievēro publisko iepirkumu jomas normatīvo aktu prasības, tai skaitā ievērojot līgumu slēgšanas ierobežojumus un līgumcenas pamatotības izvērtēšanu.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noteikumu 40.punkts nebūtu saglabājams pēc būtības esošajā redakcijā, attiecīgi veicot tikai nepieciešamos precizējumus, kas saistīti ar pašreizējo nosacījumu par Latvijas Investīciju un attīstības aģentūras izsniegtā vaučera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neradot potenciālus pārpratumus, jo pēc būtības attiecībā uz iepirkumu veikšanas kārtību regulējums nemainās.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arī anotācijā šobrīd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normā tiek veiktas arī citas izmaiņas (otrā teikuma beigās pievienota piebilde "tai skaitā ievērojot līgumu slēgšanas ierobežojumus un līgumcenas pamatotības izvērtēšanu"), tad anotācijā ir jāizskaidro šo izmaiņu būtība un piemērošanas aspekti kontekstā ar šīs normas spēkā esošo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minētajam gala labuma guvējam atbalsts nesasniedz Ministru kabineta 2017. gada 28. februāra noteikumu Nr.104 "Noteikumu par iepirkuma procedūru un tās piemērošanas kārtību pasūtītāja finansētiem projektiem" (turpmāk - </w:t>
            </w:r>
            <w:r w:rsidR="00000000" w:rsidRPr="00000000" w:rsidDel="00000000">
              <w:rPr>
                <w:rtl w:val="0"/>
              </w:rPr>
              <w:t xml:space="preserve">MK noteikumi Nr.104</w:t>
            </w:r>
            <w:r w:rsidR="00000000" w:rsidRPr="00000000" w:rsidDel="00000000">
              <w:rPr>
                <w:rtl w:val="0"/>
              </w:rPr>
              <w:t xml:space="preserve"> ) 5.1. apakšpunktā minētās līgumcenu robežvērtības, tādējādi līguma slēgšanai nav piemērojami MK noteikumu Nr. 104 IV nodaļas nosacījumi par līguma slēgšanas tiesību piešķiršanu, vienlaikus ievērojot MK noteikumu Nr. 104 III nodaļas prasības un, ja attiecināms, piemērojams V un VI nodaļas regulējums un I un II nodaļas vispārīgie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papildināšanu ar 40.</w:t>
            </w:r>
            <w:r w:rsidR="00000000" w:rsidRPr="00000000" w:rsidDel="00000000">
              <w:rPr>
                <w:vertAlign w:val="superscript"/>
                <w:rtl w:val="0"/>
              </w:rPr>
              <w:t xml:space="preserve">1</w:t>
            </w:r>
            <w:r w:rsidR="00000000" w:rsidRPr="00000000" w:rsidDel="00000000">
              <w:rPr>
                <w:rtl w:val="0"/>
              </w:rPr>
              <w:t xml:space="preserve"> punktu. Paskaidrojam, ka faktiski šajā normā paredzētais izriet no Ministru kabineta 2017. gada 28. februāra noteikumos Nr.104 "Noteikumu par iepirkuma procedūru un tās piemērošanas kārtību pasūtītāja finansētiem projektiem" (turpmāk - MK noteikumi Nr.104 ) paredzētā regulējuma un ir izskaidrots Ministru kabineta 2023.gada 10.janvāra noteikumu Nr.10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sākotnējās ietekmes novērtējuma ziņojumā (anotācijā). Līdz ar to nav saprotams ne šīs normas mērķis, ne juridiskā slodze un nepieciešamība. Attiecīgi lūdzam svītrot ar noteikumu projektu paredzēto noteikumu 40.</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Šo noteikumu </w:t>
            </w:r>
            <w:r w:rsidR="00000000" w:rsidRPr="00000000" w:rsidDel="00000000">
              <w:rPr>
                <w:rtl w:val="0"/>
              </w:rPr>
              <w:t xml:space="preserve">38.</w:t>
            </w:r>
            <w:r w:rsidR="00000000" w:rsidRPr="00000000" w:rsidDel="00000000">
              <w:rPr>
                <w:rtl w:val="0"/>
              </w:rPr>
              <w:t xml:space="preserve"> punktā</w:t>
            </w:r>
            <w:r w:rsidR="00000000" w:rsidRPr="00000000" w:rsidDel="00000000">
              <w:rPr>
                <w:rtl w:val="0"/>
              </w:rPr>
              <w:t xml:space="preserve"> minēto grantu gala labuma guvējs nevar pilnībā izmantot tikai šo noteikumu </w:t>
            </w:r>
            <w:r w:rsidR="00000000" w:rsidRPr="00000000" w:rsidDel="00000000">
              <w:rPr>
                <w:rtl w:val="0"/>
              </w:rPr>
              <w:t xml:space="preserve">18.2.2. </w:t>
            </w:r>
            <w:r w:rsidR="00000000" w:rsidRPr="00000000" w:rsidDel="00000000">
              <w:rPr>
                <w:rtl w:val="0"/>
              </w:rPr>
              <w:t xml:space="preserve">apakšpunktā</w:t>
            </w:r>
            <w:r w:rsidR="00000000" w:rsidRPr="00000000" w:rsidDel="00000000">
              <w:rPr>
                <w:rtl w:val="0"/>
              </w:rPr>
              <w:t xml:space="preserve"> noteikto konsultāciju pakalpojumiem. Minēto konsultāciju pakalpojumu izmaksas saistītas ar šo noteikumu </w:t>
            </w:r>
            <w:r w:rsidR="00000000" w:rsidRPr="00000000" w:rsidDel="00000000">
              <w:rPr>
                <w:rtl w:val="0"/>
              </w:rPr>
              <w:t xml:space="preserve">18.2.1. </w:t>
            </w:r>
            <w:r w:rsidR="00000000" w:rsidRPr="00000000" w:rsidDel="00000000">
              <w:rPr>
                <w:rtl w:val="0"/>
              </w:rPr>
              <w:t xml:space="preserve">apakšpunktā</w:t>
            </w:r>
            <w:r w:rsidR="00000000" w:rsidRPr="00000000" w:rsidDel="00000000">
              <w:rPr>
                <w:rtl w:val="0"/>
              </w:rPr>
              <w:t xml:space="preserve"> minēto pakalpojumu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dzēst noteikumu projekta 41. punkta 2. teikumu, jo tas dublē noteikumu projekta 18.2.2. apakšpunktā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60.1. Komisijas regulas Nr. </w:t>
            </w:r>
            <w:r w:rsidR="00000000" w:rsidRPr="00000000" w:rsidDel="00000000">
              <w:rPr>
                <w:rtl w:val="0"/>
              </w:rPr>
              <w:t xml:space="preserve">651/2014</w:t>
            </w:r>
            <w:r w:rsidR="00000000" w:rsidRPr="00000000" w:rsidDel="00000000">
              <w:rPr>
                <w:rtl w:val="0"/>
              </w:rPr>
              <w:t xml:space="preserve"> 1. panta 2. punkta "c" un "d" apakšpunktā un 13. panta "a", "b", "c", "d" apakšpunktā noteiktajām neatbalstāmajām nozarēm un darbībām, ja tas pretendē uz atbalstu saskaņā ar Komisijas regulu Nr. 651/2014;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projekta 54. punktā ir noteikts, ka atbalstu piešķir saskaņā ar Komisijas regulas Nr. 651/2014 14. un 18. pantu, vēršam uzmanību, ka attiecībā uz atbalstu, kas tiks sniegts saskaņā ar Komisijas regulas Nr. 651/2014 18. pantu nav jāveic pārbaude par atbilstību Komisijas regulas Nr. 651/2014 13. panta "a", "b", "c", "d"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Ekonomikas ministrija plāno uzlikt stingrākas prasības, nekā to paredz regula, lūdzam attiecīgi precizēt anotācijas V.sadaļas 1.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Maksimāli pieļaujamā atbalsta intensitāte no investīciju projekta attiecināmajām izmaksām, ja atbalstu sniedz saskaņā ar Komisijas regulas Nr. </w:t>
            </w:r>
            <w:r w:rsidR="00000000" w:rsidRPr="00000000" w:rsidDel="00000000">
              <w:rPr>
                <w:rtl w:val="0"/>
              </w:rPr>
              <w:t xml:space="preserve">651/2014</w:t>
            </w:r>
            <w:r w:rsidR="00000000" w:rsidRPr="00000000" w:rsidDel="00000000">
              <w:rPr>
                <w:rtl w:val="0"/>
              </w:rPr>
              <w:t xml:space="preserve"> 14. pantu,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63.1., 63.2 apakšpunkta un 63.</w:t>
            </w:r>
            <w:r w:rsidR="00000000" w:rsidRPr="00000000" w:rsidDel="00000000">
              <w:rPr>
                <w:vertAlign w:val="superscript"/>
                <w:rtl w:val="0"/>
              </w:rPr>
              <w:t xml:space="preserve">1</w:t>
            </w:r>
            <w:r w:rsidR="00000000" w:rsidRPr="00000000" w:rsidDel="00000000">
              <w:rPr>
                <w:rtl w:val="0"/>
              </w:rPr>
              <w:t xml:space="preserve"> punkta apakšpunktu redakcijas saskaņā ar VARAM 05.04.2023. vēstulē Nr.4-5/1988, kas adresēta arī Ekonomikas ministrijai, minēto, precīzi norādot, ka intensitāšu aprēķinā tiek ņemti vērā Latvijas Republikas statistiskie NUTS 3 līmeņa reģioni saskaņā ar 2021.gada klasifikāciju.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2021. gada nomenklatūra un attiecīgi iepriekšminētās NUTS robežas un saistītās atbalsta intensitātes paliks spēkā visu reģionālā atbalsta karšu darbības laiku neatkarīgi no jebkādām administratīvajām izmaiņām, kas var notikt NUTS vai pašvaldību līmenī. Attiecīgi NUTS robežas un no tā izrietošās reģionālā atbalsta intensitātes, kādas tās bija dalībvalsts reģionālā atbalsta kartes apstiprināšanas brīdī, būs spēkā līdz 2027. gada 31. decembrim un attiecīgi ir jāņem vērā statistiskais reģions, kas bija pieejama dalībvalstu reģionālā atbalsta karšu pieņemšanas brīdī,</w:t>
            </w:r>
            <w:r w:rsidR="00000000" w:rsidRPr="00000000" w:rsidDel="00000000">
              <w:rPr>
                <w:u w:val="single"/>
                <w:rtl w:val="0"/>
              </w:rPr>
              <w:t xml:space="preserve"> t.i. 2021. gada  nomenklatūras 3. līmeņa (NUTS 3. līmenis) klasifikāciju</w:t>
            </w:r>
            <w:r w:rsidR="00000000" w:rsidRPr="00000000" w:rsidDel="00000000">
              <w:rPr>
                <w:rtl w:val="0"/>
              </w:rPr>
              <w:t xml:space="preserve">. Vienlaikus lūdzam ar atbilstošu informāciju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63.2. Kurzemes, Zemgales, Vidzemes un Latgales NUTS 3. līmeņa reģionā – 40 % (lielajiem komersantiem), 50 % (vidējiem komersantiem) vai 60 % (sīkajiem (mikro), mazajiem komersantiem), izņemot Limbažu novadam, Ogres novadam, Saulkrastu novadam un Tukuma novadam.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2021. gada 2. novembra noteikumu Nr. 729 "Noteikumi par reģionālās attīstības atbalstu Latvijas Republikā līdz 2027. gadam" 5.un 6.punktos paredzētās papildus intensitātes nepiemēro Limbažu novadam, Ogres novadam, Saulkrastu novadam un Tukuma novadam. Nepārprotamas izpratnes nodrošināšanai par intensitātēm, kuras tiks piemērotas augstākminētajiem novadiem, aicinām atbalsta intensitātes, kas tiks piemērotas Limbažu novadam, Ogres novadam, Saulkrastu novadam un Tukuma novadam, izcelt atsevišķā noteikumu projekta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Atbalsts tiek sniegts saskaņā ar Komisijas regulu Nr. </w:t>
            </w:r>
            <w:r w:rsidR="00000000" w:rsidRPr="00000000" w:rsidDel="00000000">
              <w:rPr>
                <w:rtl w:val="0"/>
              </w:rPr>
              <w:t xml:space="preserve">1407/2013</w:t>
            </w:r>
            <w:r w:rsidR="00000000" w:rsidRPr="00000000" w:rsidDel="00000000">
              <w:rPr>
                <w:rtl w:val="0"/>
              </w:rPr>
              <w:t xml:space="preserve"> vai Komisijas regulu Nr. </w:t>
            </w:r>
            <w:r w:rsidR="00000000" w:rsidRPr="00000000" w:rsidDel="00000000">
              <w:rPr>
                <w:rtl w:val="0"/>
              </w:rPr>
              <w:t xml:space="preserve">717/2014</w:t>
            </w:r>
            <w:r w:rsidR="00000000" w:rsidRPr="00000000" w:rsidDel="00000000">
              <w:rPr>
                <w:rtl w:val="0"/>
              </w:rPr>
              <w:t xml:space="preserve">, vai Komisijas regulu Nr. </w:t>
            </w:r>
            <w:r w:rsidR="00000000" w:rsidRPr="00000000" w:rsidDel="00000000">
              <w:rPr>
                <w:rtl w:val="0"/>
              </w:rPr>
              <w:t xml:space="preserve">1408/2013</w:t>
            </w:r>
            <w:r w:rsidR="00000000" w:rsidRPr="00000000" w:rsidDel="00000000">
              <w:rPr>
                <w:rtl w:val="0"/>
              </w:rPr>
              <w:t xml:space="preserve"> šo noteikumu </w:t>
            </w:r>
            <w:r w:rsidR="00000000" w:rsidRPr="00000000" w:rsidDel="00000000">
              <w:rPr>
                <w:rtl w:val="0"/>
              </w:rPr>
              <w:t xml:space="preserve">18.2.</w:t>
            </w:r>
            <w:r w:rsidR="00000000" w:rsidRPr="00000000" w:rsidDel="00000000">
              <w:rPr>
                <w:rtl w:val="0"/>
              </w:rPr>
              <w:t xml:space="preserve"> apakšpunktā</w:t>
            </w:r>
            <w:r w:rsidR="00000000" w:rsidRPr="00000000" w:rsidDel="00000000">
              <w:rPr>
                <w:rtl w:val="0"/>
              </w:rPr>
              <w:t xml:space="preserve"> minētajām izmaksām, ja </w:t>
            </w:r>
            <w:r w:rsidR="00000000" w:rsidRPr="00000000" w:rsidDel="00000000">
              <w:rPr>
                <w:rtl w:val="0"/>
              </w:rPr>
              <w:t xml:space="preserve">29.</w:t>
            </w:r>
            <w:r w:rsidR="00000000" w:rsidRPr="00000000" w:rsidDel="00000000">
              <w:rPr>
                <w:rtl w:val="0"/>
              </w:rPr>
              <w:t xml:space="preserve"> un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minētie gala labuma guvēji nevar saņemt atbalstu saskaņā ar šo noteikumu </w:t>
            </w:r>
            <w:r w:rsidR="00000000" w:rsidRPr="00000000" w:rsidDel="00000000">
              <w:rPr>
                <w:rtl w:val="0"/>
              </w:rPr>
              <w:t xml:space="preserve">62. </w:t>
            </w:r>
            <w:r w:rsidR="00000000" w:rsidRPr="00000000" w:rsidDel="00000000">
              <w:rPr>
                <w:rtl w:val="0"/>
              </w:rPr>
              <w:t xml:space="preserve">punktā</w:t>
            </w:r>
            <w:r w:rsidR="00000000" w:rsidRPr="00000000" w:rsidDel="00000000">
              <w:rPr>
                <w:rtl w:val="0"/>
              </w:rPr>
              <w:t xml:space="preserve">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noteikumu projekta 75. punktā faktiski dublē MK noteikumu Nr. 10 62. punktā noteikto, kā arī ir pretrunā MK noteikumu Nr. 10 74. punktam, kas paredz, ka de minimis atbalstu sniedz šo noteikumu 27. punktā minētajam sīkajam (mikro) un mazajam komersantam un šo noteikumu 29. punktā minētajai biedrībai un nodibinājumam, nevis arī šo noteikumu 30. punktā minētajiem gala labuma guvējiem. Aicinām precizēt atbilstoši precizēt noteikumu projekta 75.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 uz to nav attiecināmi regulas Nr. </w:t>
            </w:r>
            <w:r w:rsidR="00000000" w:rsidRPr="00000000" w:rsidDel="00000000">
              <w:rPr>
                <w:rtl w:val="0"/>
              </w:rPr>
              <w:t xml:space="preserve">2018/1046</w:t>
            </w:r>
            <w:r w:rsidR="00000000" w:rsidRPr="00000000" w:rsidDel="00000000">
              <w:rPr>
                <w:rtl w:val="0"/>
              </w:rPr>
              <w:t xml:space="preserve"> 136. pantā noteiktie izslēgšanas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veiktos precizējumus, lūdzam aizstāt vārdus un skaitļus "regulas Nr. 2018/1046 136. pantā noteiktie" ar vārdu "šādi".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63.1. Rīgā un Pierīgas NUTS 3. līmeņa reģionā – 30 % (lielajiem komersantiem), 40 % (vidējiem komersantiem) vai 50 % (sīkajiem (mikro), mazajiem komersantiem);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Pierīgas NUTS 3. līmeņa reģiona novadi 2022.-2027.gada reģionālā atbalsta kartē ir ietverti Rīgas reģionā vai kādā citā noteikumu projekta 63.2.apakšpunktā minētajā reģionā, aicinām izvērtēt, vai noteikumu projekta 63.1.apakšpunktā būtu saglabājama norāde par Pierīgas reģionu. Nepieciešamības gadījumā lūdzam precizēt noteikumu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Šo noteikumu </w:t>
            </w:r>
            <w:r w:rsidR="00000000" w:rsidRPr="00000000" w:rsidDel="00000000">
              <w:rPr>
                <w:rtl w:val="0"/>
              </w:rPr>
              <w:t xml:space="preserve">74.</w:t>
            </w:r>
            <w:r w:rsidR="00000000" w:rsidRPr="00000000" w:rsidDel="00000000">
              <w:rPr>
                <w:rtl w:val="0"/>
              </w:rPr>
              <w:t xml:space="preserve"> punktā</w:t>
            </w:r>
            <w:r w:rsidR="00000000" w:rsidRPr="00000000" w:rsidDel="00000000">
              <w:rPr>
                <w:rtl w:val="0"/>
              </w:rPr>
              <w:t xml:space="preserve"> minētajai biedrībai un nodibinājumam un šo noteikumu </w:t>
            </w:r>
            <w:r w:rsidR="00000000" w:rsidRPr="00000000" w:rsidDel="00000000">
              <w:rPr>
                <w:rtl w:val="0"/>
              </w:rPr>
              <w:t xml:space="preserve">75.</w:t>
            </w:r>
            <w:r w:rsidR="00000000" w:rsidRPr="00000000" w:rsidDel="00000000">
              <w:rPr>
                <w:rtl w:val="0"/>
              </w:rPr>
              <w:t xml:space="preserve"> punktā</w:t>
            </w:r>
            <w:r w:rsidR="00000000" w:rsidRPr="00000000" w:rsidDel="00000000">
              <w:rPr>
                <w:rtl w:val="0"/>
              </w:rPr>
              <w:t xml:space="preserve"> ​​​​​​​minētajiem gala labuma guvējiem šo noteikumu </w:t>
            </w:r>
            <w:r w:rsidR="00000000" w:rsidRPr="00000000" w:rsidDel="00000000">
              <w:rPr>
                <w:rtl w:val="0"/>
              </w:rPr>
              <w:t xml:space="preserve">18.2.1.</w:t>
            </w:r>
            <w:r w:rsidR="00000000" w:rsidRPr="00000000" w:rsidDel="00000000">
              <w:rPr>
                <w:rtl w:val="0"/>
              </w:rPr>
              <w:t xml:space="preserve"> apakšpunktā</w:t>
            </w:r>
            <w:r w:rsidR="00000000" w:rsidRPr="00000000" w:rsidDel="00000000">
              <w:rPr>
                <w:rtl w:val="0"/>
              </w:rPr>
              <w:t xml:space="preserve"> ​​​​​​​minētajām izmaksām maksimāli pieļaujamā atbalsta intensitāte no investīciju projekta attiecināmajām izmaksām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de minimis regulējums neparedz intensitāšu piemērošanu, tāpēc aicinām izvērtēt nepieciešamību paredzēt stingrākas prasības, nekā to paredz de minimis regulējums. Ja tomēr šāda stingrāka pieeja ir saglabājama, lūdzam attiecīgi papildināt anotācijas V. sadaļas 1. tabulu, ka grozījumi paredz stingrākas prasības, nekā Eiropas Savienības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08.06.2023. 14.45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08.06.2023. 14.45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Atzinumi_23-TA-875.docx</dc:title>
</cp:coreProperties>
</file>

<file path=docProps/custom.xml><?xml version="1.0" encoding="utf-8"?>
<Properties xmlns="http://schemas.openxmlformats.org/officeDocument/2006/custom-properties" xmlns:vt="http://schemas.openxmlformats.org/officeDocument/2006/docPropsVTypes"/>
</file>