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ilgo noteikumu projekta saskaņošanas procesu, anotācijas 3.sadaļas punkta “Cita informācija” pirmajā rindkopā precizētā informācija atkal ir zaudējusi aktualitāti, attiecīgi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ieņēmumi un izdevumi 2026., 2027. un 2028.gadam ir apstiprināti ar likumu “Par valsts budžetu 2026. gadam un budžeta ietvaru 2026., 2027. un 2028. gadam”, attiecīgi noteikumu projekta īstenošana, t.sk. finansējums nacionālām atbalsta programmām invazīvo sugu ierobežošanai ir jānodrošina iesaistītajām institūcijām pieejamo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11.08.2026.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11.08.2026.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