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 jāaprēķina katrai mērķgrupai par tām informācijas sniegšanas prasībām, kas izriet no tiesību akta projekta. Ievērojot minēto, lūdzam izvērtēt administratīvo slogu informācijas sniegšanas pienākumiem, kas paredzēti šajā noteikumu projektā, piemēram, datu sniegšana EIKIS, pārskati Valsts kasei (76. punkts), iesniegumi pašvaldībai par atbalsta saņemšanu (64. 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EIKIS veic datu pārraidi un apmaiņu ar šādiem datu reģistru pārziņiem: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punktā teikts: "EIKIS veic datu pārraidi un apmaiņu ar šādiem datu reģistru pārziņiem:". 82.4. punktā teikts: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atvērtajiem datiem;". Ar atvērtajiem datiem nav iespējams veikt saziņu. Iespējams, šie punkti izsakāmi savādāk.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punktos 6.2. un 6.3. vārdus "sabiedriskā apspriede" labot uz "publiskā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projekta publiskās apspriešanas laikā nav saņemti  rakstiski komentāri, lai gan projektam ir plaša ietekme uz sabiedrību. Pozitīvi, ka  saimnieciskās vides  un pašvaldību pārstāvji ir uzklausīti izstrādes stadijā. Tomēr pašai noteikumu gala mērķauditorijai - mājsaimniecībām, kuru ienākumi ir mazi vai vidēji un kuras varētu pretendēt uz valsts atbalstu apkurei - projekts varētu būt  tehniski pārāk sarežģīts, lai izprastu to un sniegtu rakstisku viedokli. Aicinām savlaicīgi paredzēt sabiedrības informēšanas pasākumus, piemēram, skaidrojošus materiālus, informatīvu tālruni u.tml., lai nodrošinātu, ka tie, kuriem valsts atbalsts pienākas, par  to uzzina un šo atbalstu tiešām saņem.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12.03.2024. 13.52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12.03.2024. 13.52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