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noteikumu (grozījuma) projekta spēkā stāšanos. Vēršam uzmanību, ka noteikumu projekts stāsies spēkā vispārējā kārtībā, ja pašā tiesību aktā nav noteikts cits tā spēkā stāšanās termiņš. Skaidrojam, ka Ministru kabineta 2021. gada 7. septembra protokollēmumā (prot. Nr. 60 32. § 5. punkts) ir noteikts, ka visi ar Atveseļošanas fonda plāna īstenošanu saistītie normatīvo aktu projekti, kā arī informatīvie ziņojumi izskatīšanai Ministru kabinetā tiek virzīti steidzamības kārtībā, tas nozīmē, ka atzinuma sniegšanas termiņš ir līdz trim darbdienām, bet steidzamības kārtā virzītiem projektiem nemainās </w:t>
            </w:r>
            <w:r w:rsidR="00000000" w:rsidRPr="00000000" w:rsidDel="00000000">
              <w:rPr>
                <w:u w:val="single"/>
                <w:rtl w:val="0"/>
              </w:rPr>
              <w:t xml:space="preserve">spēkā stāšanās termiņš</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02.06.2023.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02.06.2023.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