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2.punktā noteiktā pasākuma mērķa un noteikumu projekta 18.punktā noteikto energoefektivitātes paaugstināšanas pasākumu atbilstību Eiropas Savienības kohēzijas politikas programmā 2021.-2027.gadam noteiktajam atbalsta tvērumam, lūdzam papildināt noteikumu projekta 2. un 18.punktu ar nosacījumu par primārās enerģijas ietaupījumu 30% apmērā un virzību uz nulles enerģijas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5 448 840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nacionālais 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īstenošanai ir paredzēts elastības finansējums un šobrīd vēl nav pieņemti lēmumi par ES kohēzijas politikas programmas 2021.–2027.gadam elastības finansējuma sadales principiem vai tvērumu ne kopumā, ne attiecībā uz Ekonomikas ministrijas pārziņā esošo investīciju elastības finansējumu, attiecīgi projektu īstenošanai, t.sk. projektu iesniegumu atlasēm, elastības finansējums nav pieejams. Ņemot vērā minēto, lūdzam pārskatīt un precizēt noteikumu projektā ietvertos nosacījumus par finansējumu, kāds ir pieejams noteikumu projekta pielikumā pievienotajiem projektiem, t.sk. skaidri norādot noteikumu projekta pielikumā pievienotajiem projektiem pieejamo finansējumu (proti, bez elastības finansējuma). Vēršam uzmanību, ka šobrīd noteikumu projekta pielikumā pievienotajiem projektiem ir norādīts finansējums ar elastības finansējumu, kas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viennozīmīgi skaidru interpretāciju par projekta finansējuma avotiem, lūdzam noteikumu projekta 6. punktā konkrēti norādīt nacionālā finansējuma avotus, piemēram, valsts budžeta finansējums un privātais finansējums. Lūdzam atbilstoši precizēt arī anotāciju. Papildus vēršam uzmanību, ka noteikumu projekta 6.punktā norādītā elastības finansējuma apjoms sadalījumā pa avotiem neveido kopējo pasākuma ietvaros plānoto elastības finansējuma apjomu, attiecīgi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sasniedzamajiem uzraudzības rādītājiem, t.sk. to atbilstību ES kohēzijas politikas programmai 2021.-2027.gadam, lūdzam precizēt noteikumu projekta 8.punktā norādītos uzraudzības rādītājus – kā sasniedzamo iznākuma rādītāju norādot atbalstīto valsts ēku platību  un kā sasniedzamo rezultāta rādītāju nosakot primārās enerģijas gada patēriņa samazinājumu, savukārt noteikuma projekta 8.1.apakšpunktā norādīto uzraudzības rādītāju rosinām noteikt  kā nacionālo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viennozīmīgi skaidri nav izsekojama informācija, kā starp kopumā plānotajiem valsts ēku energoefektivitātes pasākumiem sadalās sasniedzamās rezultāta un iznākumu rādītāju vērtības. Attiecīgi aicinām izvērtēt iespēju katram valsts ēku energoefektivitātes pasākumam izdalīt sasniedzamās rezultāta un iznākumu rādītāju vērtības, t.sk. papildināt anotāciju ar skaidri izsekojamu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Reģionālās attīstības fonda maksimālā līdzfinansējuma likme ir 85 % no projekta kopējām attiecināmajām izmaksām, ja projekta iesniedzējs neveic saimniecisko darbību un atbalsta sniegšana pasākuma ietvaros tam nav kvalificējama kā valsts atbalsts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pie noteikumu projekta V. sadaļas "Ar komercdarbības atbalsta saņemšanu saistītie nosacījumi", lūdzam papildināt noteikumu projektu ar normu vai precizēt noteikumu projekta 10. punktu, nosakot, kāda Eiropas Reģionālās attīstības fonda finansējuma likme ir tad, ja atbalsts kvalificēsies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projekta vadības un īstenošanas personāla atlīdzības izmaksas, kas radušās uz darba līguma, rīkojuma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argumentētu apsvērumu dēļ plašāka vienkāršoto izmaksu izmantošanas iespēja pasākumā netiek paredzēta, saskaņā ar ES fondu attiecināmo izmaksu noteikšanas nosacījumiem ERAF, KF, TPF līdzfinansētajiem projektiem tiek noteikts maksimālais ierobežojums tiešajām projekta vadības personāla izmaksām līdz fiksētajai summai: projektiem ar tiešajām attiecināmajām izmaksām virs 5 milj. EUR personāla izmaksu Eiropas Savienības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nodrošināt atbilstošu ES fondu attiecināmības nosacījumu piemērošanu un attiecīgi precizēt noteikumu projekta 21.3.apakšpunktu.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noteikumu projektā un anotācijā lietoto terminoloģiju attiecībā uz projekta vadības un īstenošanas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19.5.projekta vadības un īstenošanas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būvuzraudzības un autoruzraudzības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ES fondu attiecināmo izmaksu noteikšanas nosacījumiem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23.punktu papildināt ar atsaucēm uz noteikumu projekta 21.4. un 21.5.apakšpunktiem.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nodrošina finansējumu projektā sasniegto rezultātu uzturēšanai un uztur sasniegtos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pasākumā plānoto finansējuma saņēmēju loku (tiešās pārvaldes iestādes, atvasinātas publiskas personas, biedrība) un lai nodrošinātu viennozīmīgi skaidrus nosacījumus finansējuma avotam sasniegto rezultātu uzturēšanai, lūdzam noteikumu projekta 30.1. apakšpunktā noteikt, no kādiem līdzekļiem tiks nodrošina projektā sasniegto rezultātu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iekļauto informāciju par 2.1.1.8. pasākuma ietvaros izraudzītajiem finansējuma saņēmējiem un ēkām, kurām plānots sniegt atbalstu energoefektivitātes veicinošiem pasākumiem, lūdzam izvērtēt, vai, balstoties uz līdzšinējo pieredzi, visos gadījumos var izslēgt komercdarbības atbalstu, pamatojoties uz noteikumu projektā 31.1. un 31.2. apakšpunktā minētājam pazīmēm. Ja pastāv risks, ka 2.1.1.8.pasākuma ietvaros atbalsts kādai ēkai (ēku grupai) kvalificējas kā komercdarbības atbalsts, lūdzam noteikumu projektu papildināt ar piemērojamajiem komercdarbības atbalsta regulējuma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vēršam uzmanību, ka, piemēram, attiecībā uz vienu no 2.1.1.8. pasākuma ietvaros projekta iesniedzēju – Rundāles pils muzeju – Kultūras ministrija iepriekš ir secinājusi, ka Rundāles pils muzeja ieņēmumi pārsniedz 50% un vienlaikus izpildās visas Līguma par Eiropas Savienības darbību 107. panta 1. punktā noteiktās komercdarbības atbalsta pazīmes, kā rezultātā tika piemēroti </w:t>
            </w:r>
            <w:r w:rsidR="00000000" w:rsidRPr="00000000" w:rsidDel="00000000">
              <w:rPr>
                <w:i w:val="1"/>
                <w:rtl w:val="0"/>
              </w:rPr>
              <w:t xml:space="preserve">Eiropas Komisijas 2014. gada 17. jūnija Regulas (ES) Nr. 651/2014, ar ko noteiktas atbalsta kategorijas atzīst par saderīgām ar iekšējo tirgu, piemērojot Līguma 107. un 108. pantu</w:t>
            </w:r>
            <w:r w:rsidR="00000000" w:rsidRPr="00000000" w:rsidDel="00000000">
              <w:rPr>
                <w:rtl w:val="0"/>
              </w:rPr>
              <w:t xml:space="preserve"> (turpmāk - Regula Nr. 651/2014) 53. panta nosacījumi, tādējādi aicinām izvērtēt nepieciešamību noteikumu projektā iekļaut vispārīgos komercdarbības atbalsta regulējuma nosacījumus, kā arī specifiskos komercdarbības atbalsta regulējuma nosacījumus, kas izriet no Regulas Nr. 651/2014 53.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iepriekš minētajam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pārliecinātos, ka attiecībā uz noteikumu projekta pielikumā norādīto projekta iesniedzēju biedrību “Latvijas Teātra darbinieku savienība” atbalsts netiek kvalificēts kā komercdarbības atbalsts, lūdzam papildināt anotāciju ar skaidrojumu par konkrētā projekta iesniedzēja statusu un veiktajām darbībām ēkā -  respektīvi, vai tas pārvalda un apsaimnieko valsts nekustamos īpašumus vai ēku (ēku grupu) vai veic (un kādus) valsts deleģētus uzdevumus, kurā tiek nodrošināta kultūras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projekta dzīves ciklā uzrauga, vai tiek izpildīts šo noteikumu 31.1. un 31.2. apakšpunktā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  skaidrojam, ka noteikumu projekta 31.2. apakšpunktā norādītais komercdarbības atbalsta kontekstā ir jāievēro uz atbalsta piešķiršanas brīdi, bet nav jāuzrauga ikgadēji projekta dzīves ciklā, respektīvi projekta dzīves ciklā ikgadēji jāveic tikai noteikumu projekta 31.1. apakšpunktā minētā nosacījuma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konkrētu dzīves cikla ilgumu, lai būtu skaidrs, kāds ir šo projektu uzraudzības periods. Vai arī gadījumā, ja projekta iesniedzēji to nosaka paši, ņemot vērā savu projektu saturu, tad papildināt anotāciju ar norādi, ka projekta dzīves cikls tiek noteikts katrā projekta izmaksu un ieguvumu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 fondu ieviešanas sistēmas kontekstā lūdzam paredzēt noteikumu projekta 35.punktā, ka komercdarbības atbalsta izslēdzošo nosacījumu izpildi kultūras jomā kontroli atbilstoši noteikumu projekta 31. punktā  minētajam uzrauga Kultūras ministrija, ņemot vērā, ka Kultūras ministrija šādas pārbaudes jau veic, kā arī līdzīga kārtība ir paredzēta arī citos pasākumos (gan apstiprinātajos, gan saskaņošanā esošajos), piemēram, 5.1.1.5., 5.1.1.7., 5.1.1.6.pasākumā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2.1.1.8.pasākuma “Energoefektivitāti veicinoši pasākumi kultūras infrastruktūrā” (2.1.1.8.pasākums) atbalstāmo ēku sarakstā ir iekļautas ēkas (ēku grupa), kurās tiek īstenota kultūras funkcija, un to izvērtēšanu un priekšatlasi ir veikusi Kultūras ministrija. Vienlaikus ES fondu kohēzijas politikas programmas 2021.-2027.gadam (programma) tvērums ir ar skaidru atbalsta fokusu centrālās valdības īpašumā esošajām ēkām (valsts institūcijas, valsts kapitālsabiedrības (ja īpašumtiesības pieder valstij un ēku izmanto pārvaldes, izglītības, kultūras, veselības vai sociālo funkciju veikšanai) un, ja ēkā veic valsts deleģētus uzdevumus vai pienākumus sociālā jomā (programmas nosacījums), atbalstu var paredzēt arī biedrību, nodibinājumu ēkām. Ņemot vērā minēto un noteikumu projektam pievienot ēku sarakstu, kā arī noteikumu projektā minēto, ka projekta iesniedzējs veic valsts deleģētu uzdevumu, lūdzam papildināt anotāciju ar skaidru, izsekojamu informāciju, kas pamato izvēlēto ēku atbilstību programmā izvirzītajiem nosacījumiem, t.sk. skaidri norādot, kādus valsts deleģētus uzdevumus veic Latvijas Mākslas akadēmija, Latvijas Kultūras akadēmija un biedrība “Latvijas Teātra darbinieku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normatīvo regulējumu Atveseļošanas fonda 1.2.1.4.i. investīcijas "Energoefektivitātes uzlabošana valsts sektora ēkās, t.sk. vēsturiskajās ēkās" (AF 1.2.1.4.i. investīcija) īstenošanai, Ministru kabineta lēmums (Ministru kabineta 2023.gada 8.augusta sēdes protokollēmuma Nr.38 79.§ “Noteikumu projekts "Eiropas Savienības Atveseļošanas un noturības mehānisma plāna 1.2. reformu un investīciju virziena "Energoefektivitātes uzlabošana" 1.2.1.4.i. investīcijas "Energoefektivitātes uzlabošana valsts sektora ēkās, t.sk. vēsturiskajās ēkās" īstenošanas noteikumi"” 5.punkts) noteica risinājumu, ka, lai novērstu riskus attiecībā uz finansējuma pieejamību visiem projektu iesniegumiem, kuriem tiks izstrādāta tehniskā dokumentācija AF 1.2.1.4.i. investīcijas finansējuma ietvaros, projektiem, kuriem ierobežotā finansējuma dēļ pēc tehniskās dokumentācijas izstrādes varētu netikt piešķirts finansējums projekta tālākai īstenošanai no AF 1.2.1.4.i. investīcijas, tiks paredzēta iespēja saņemt finansējumu  Eiropas Savienības kohēzijas politikas programmas 2021.–2027. gadam 2.1.1.8. pasākumā "Energoefektivitāti veicinoši pasākumi kultūras infrastruktūrā". Lai nodrošinātu viennozīmīgi skaidru informācijas izsekojamību par minētā risinājuma piemērošanu, lūdzam papildināt anotāciju ar atbilstošu informāciju, t.sk. norādot konkrētus AF 1.2.1.4.i. investīcijas projektus (objektus), uz kuriem minētais risinājums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“Tiesību akta projekta ietekmējamās sabiedrības grupas, ietekme uz tautsaimniecības attīstību un administratīvo slogu”  ar pēc iespējas izmērāmiem faktiski sagaidāmiem rezultātiem/rādītājiem, kas skaidri demonstrē plānoto investīciju ietekmi uz tautsaimniecību. Skaidrojam,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1.-5.punktos atspoguļoto ietekmi uz valsts budžetu, ievērojot, ka 1., 1.1.punktā jānorāda Eiropas Reģionālās attīstības fonda finansējuma daļa, kas ir 85%, 2. un 2.1. punktā - kopējais pieejamais finansējuma apmērs, savukārt 3., 3.1., 5. un 5.1.punktā - valsts budžeta finansējuma daļa, kas ir 15%. Vienlaikus lūdzam papildināt 6.punktu ar informāciju par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tā anotāciju ar norādi, ka pēc ES fondu ieguldījumu veikšanas attiecīgais objekts nodrošinās pašpietiekamību un būs spējīgs nodrošināt funkcionēšanu bez papildus publiskā atbalsta saņemšanas, t.sk. nodrošināt tā darbību atbilstoši noteiktajām funkcijām, nodrošināt atbilstošu infrastruktūras uzturēšanu, ņemot vērā, ka šī pasākuma ietvaros plānots atbalsts kultūras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22.punktā noteikto regulējumu, lūdzam papildināt noteikumu projekta izdošanas pamatojumu ar Eiropas Savienības fondu 2021.—2027. gada plānošanas perioda vadības likuma 19.panta 6.punktu, kas paredz, ka Ministru kabinets nosaka vienkāršoto izmaksu piemērošanas nosacījumus un kārtību. Tāpat lūdzam papildināt noteikumu projekta 1.punktu ar apakšpunktu, kas paredz, ka noteikumi nosaka “vienkāršoto izmaksu piemērošanas nosacījumus un kārtību", vienlaikus lūdzam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atbalsta veids ir grants.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avansa pieejamības nosacījumiem finansējuma saņēmējam un sadarbības partnerim (ja attiecināms), ņemot vērā, ka kā finansējuma saņēmējs paredzēta arī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5 448 840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nacionālais 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13.jūlija sēdes protokollēmumā (prot. Nr.36 85.§ 3.punkts) noteikts: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 Lūdzam izvērtēt iepriekšminētā protokollēmumā noteikto un, ja izmaksu un ieguvumu analīze ir jāveic, tad noteikumu projektā paredzēt, ka projekta iesniedzējam ir pienākums veikt izmaksu un ieguvumu analīzi. Gadījumā, ja ir izvērtēts, ka izmaksu un ieguvumu analīze nav veicama, tad lūdzam papildināt noteikumu 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nodrošina, ka netiek pārsniegts tam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norādīta finansējuma saņēmēju būvdarbu paredzamā līgumsumma, kopsummā sastādot 29 580 000 </w:t>
            </w:r>
            <w:r w:rsidR="00000000" w:rsidRPr="00000000" w:rsidDel="00000000">
              <w:rPr>
                <w:i w:val="1"/>
                <w:rtl w:val="0"/>
              </w:rPr>
              <w:t xml:space="preserve">euro</w:t>
            </w:r>
            <w:r w:rsidR="00000000" w:rsidRPr="00000000" w:rsidDel="00000000">
              <w:rPr>
                <w:rtl w:val="0"/>
              </w:rPr>
              <w:t xml:space="preserve">, kas atbilst noteikumu projekta 6. punktā noteiktajam pasākuma kopējam ERAF finansējumam, t.sk.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pielikumā aprēķinātā finansējuma kolonnas nosaukumu definēt kā "Maksimālais Eiropas Reģionālās attīstības fonda finansējums", ņemot vērā, ka  atbilstoši noteikumu projekta 19.5. un 19.6. apakšpunktiem pasākuma ietvaros attiecināmas ir arī projekta vadības un informācijas un publicitātes pasākumu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projekta iesniegumā plānoto informācijas un publicitātes pasākumu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personai noteiktajiem pienākumiem un ņemot vērā Eiropas Savienības fondus regulējošajos normatīvajos aktos un praksē lietoto terminoloģiju, lūdzam salāgot noteikumu projekta 14.12. un 19.6. apakšpunktā noteikto ar noteikumu projekta 21.10. apakšpunktā noteikto, proti, atsaucoties nevis uz informācijas un publicitātes pasākumu veikšanu, bet gan uz komunikācijas un vizuālās identitātes prasību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tostarp papildinot ar to, ka tiks nodrošināti projekta komunikācijas un vizuālās identitātes prasību izpildes pasākumi saskaņā ar noteikumu projekta 21.10. apakšpunktā minētajiem normatīvajiem aktiem un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11. punktā minētais projekta iesniedzējs var veikt plānotos ieguldījumus, ja ēka (ēku grupa) ir projekta iesniedzēja īpašumā vai ilgtermiņa nomā uz vismaz 10 gadiem no projekta īstenošanas sākuma brīža vai projekta iesniedzējam ir apbūves tiesība visā projekta īstenošanas laikā un vismaz piecus gadus pēc projekta īstenošanas pabeigšanas, vai ēka (ēku grupa) ir nodota projekta iesniedzēja pārvaldīšanā, ko apliecina attiecīgs līgums, vai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nosakot, ka finansējuma saņēmējam īpašumtiesības jānostiprina zemesgrāmatā līdz projekta noslēguma maksājuma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ir atbalstāmi tādi ēku energoefektivitātes paaugstināšanas pasākumi, ko pārskatā par ekonomiski pamatotiem energoefektivitāti uzlabojošiem pasākumiem paredzējis neatkarīgs eksperts ēku energoefektivitātes jomā. Minēto pārskatu izstrādā saskaņā ar normatīvajiem aktiem ēku energoefektivitātes aprēķina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projekta pieteikumos iekļauto darbību atbilstību 19.1. apakšpunktā noteiktajām atbalstāmajām darbībām un izmaksu attiecināmību atbilstoši noteikumu projekta 21.5., 21.8., un 21.9. apakšpunktos noteiktajām attiecināmām izmaksām, lūdzam noteikumu projektu papildināt ar nosacījumu, ka projekta iesniegumam pievieno primārās enerģijas un siltumnīcefekta gāzu emisiju novērtējumu, energosertifikātu un pārskatu par ekonomiski pamatotiem energoefektivitāti uzlabojošiem pasākumiem, kuru īstenošanas izmaksas ir rentablas paredzamajā (plānotajā) kalpošanas laikā, un pārskatu par ēkas energosertifikāta aprēķinos izmantotajām ievaddatu vērtībām vai norāda Būvniecības informācijas sistēmas dokumenta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būvprojekta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šo punktu sekojošā redakcijā - būvniecības ieceres dokumentācijas un būvprojekta sagatavošanas izmaksas un ar to saistītās normatīvajos aktos paredzētās būvekspertīzes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projekta vadības un īstenošanas personāla atlīdzības izmaksas, kas radušās uz darba līguma, rīkojuma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vienoto likmi līdz 20% (bez metodikas izstrādes) personāla izmaksām, ņemot vērā, ka tas samazinās administratīvo slogu visiem iesaistītajiem vai izstrādāt personāla atlīdzībām vienas vienības izmaksu metodiku. Vēršam uzmanību, ka attiecīgās likmes piemērošanas gadījumā tā apmērs jāsaskaņo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21.5.4. vēdināšanas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attiecināmās izmaksas, skaidri norādot, kādas izmaksas attiecībā uz vēdināšanas sistēmām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vēdināšanas sistēmas iekārtu iegāde un uzstādīšana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neparedzētie izdevumi, kuri nepārsniedz 5 % no projekta kopējām tiešajām attiecināmajām izmaksām un kurus var izmantot ar projekta īstenošanu saistīto attiecināmo izmaksu segšanai. To izlietošanu finansējuma saņēmējs saskaņo ar sadarbības iestādi, ievērojot civiltiesisko līgumu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ES fondu attiecināmo izmaksu noteikšanas nosacījumiem  katrā situācijā neparedzēto izmaksu procentuālais apmērs ir jāizvērtē individuāli, atkarībā no tā, cik apjomīgus un sarežģītus projektus paredzēts īstenot attiecīgajā pasākumā, taču tas kopumā nedrīkst pārsniegt 5 % no kopējo tiešo attiecināmo izmaksu summas. Līdz ar to lūdzam papildināt anotāciju ar pamatojumu, kāpēc noteikumu projekta 21.11.apakšpunktā noteiktais procentuālais apmērs neparedzētajiem izdevumiem noteikts tieši 5%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20. punktā minētās projekta netiešās attiecināmās izmaksas ir finansējuma saņēmēja projekta vadības un īstenošanas personāla administratīvās izmaksas, kuras plāno kā vienu izmaksu pozīciju, piemērojot netiešo izmaksu vienoto likmi 15 % apmērā no šo noteikumu 21.3. apakšpunktā minētajām izmaksām. Ja projekta īstenošanai tiek piesaistīts projekta sadarbības partneris, netiešo attiecināmo izmaksu sadalījums starp projekta iesniedzēju un projekta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13. un 14. punktā paredzētajam finansējuma saņēmējs projekta īstenošanas nodrošināšanai var piesaistīt sadarbības partneri, kas pēc būtības veiks visas ar projekta dokumentācijas sagatavošu un īstenošanu saistītās darbības, t.i., iespējams, ka lielākā daļa no projekta vadības un īstenošanas personāla būs sadarbības partnera, nevis finansējuma saņēmēja personāls. Normas viennozīmīgai izpratnei rosinām 22. punkta redakciju salāgot ar anotācijā norādīto, svītrojot vārdus "finansējuma saņēmēja".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21.5.7. apakšpunktā minētās izmaksas nepārsniedz 30 % no projekta kopējām attiecināmajām izmaksām un 30 % no būvdarbu līguma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21.5.7. apakšpunktā minētajām izmaksām noteikt izmaksu ierobežojumu 30% no kopējām attiecināmām izmaksām, jo projekta iesniegumiem ir zema gatavība un būvdarbu līguma summa uz projekta iesnieguma iesniegšanas brīdi būs indikatīva.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ir attiecināmas, ja tās atbilst šajos noteikumos minētajām izmaksu pozīcijām, ir radušās ne agrāk par 2024. gada 1. janvāri un ir tieši saistītas ar projekta ietvaros veiktajām darbībām, ir izmērāmas, samērīgas, pamatotas ar izdevumus apliecinošiem dokumentiem, kā arī ir ievēroti saimnieciskuma, lietderības un efektivitātes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11.punktu un noteikumu projekta pielikumā noteiktos projekta iesniedzējus, vēršam uzmanību, ka gadījumā, ja projekta izmaksas paredzēts attiecināt no noteikumu spēkā stāšanās dienas vai pirms tam, un finansējuma saņēmējs ir valsts budžeta iestāde,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izvērtēt, un ja nepieciešams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projektu īsteno saskaņā ar noslēgto civiltiesisko līgumu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11.punktā un tā pielikumā uzskaitīto projektu iesniedzēju juridiskos statusus, lūdzam papildināt noteikumu projekta 28.punktu arī ar nosacījumu projektu īstenot  saskaņā ar vienošanos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paraksta apliecinājumu par interešu konflikta neesību, kā arī projekta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29.10. apakšpunktu paredzot, ka arī sadarbības partneris paraksta apliecinājumu un nodrošina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w:t>
            </w:r>
            <w:r w:rsidR="00000000" w:rsidRPr="00000000" w:rsidDel="00000000">
              <w:rPr>
                <w:u w:val="single"/>
                <w:rtl w:val="0"/>
              </w:rPr>
              <w:t xml:space="preserve">un sadarbības partneris</w:t>
            </w:r>
            <w:r w:rsidR="00000000" w:rsidRPr="00000000" w:rsidDel="00000000">
              <w:rPr>
                <w:rtl w:val="0"/>
              </w:rPr>
              <w:t xml:space="preserve"> paraksta apliecinājumu par interešu konflikta neesību, kā arī projekta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iespējām, lūdzam precizēt noteikumu projekta 34. punktu,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saņēmējam ir pienākums atmaksāt sadarbības iestādei saņemto nelikumīgo komercdarbības atbalstu kopā ar procentiem no līdzekļiem, kas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"Ar komercdarbības atbalsta saņemšanu saistītie nosacījumi" noteikto, norādot informāciju par papildpakalpojumu būtību, tai skaitā par to, ka attiecībā uz papildpakalpojumiem sagaidāmā ietekme uz tirdzniecību un konkurenci Eiropas Savienības iekšējā tirgū ir niecīga vai neiespējama, kā arī minot piemērus, kas šī pasākuma ietvaros  būtu uzskatāmi par papildpakalpojumiem.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attiecībā uz pasākumu īstenošanai noteikto intervences kodu Nr. 40, ņemot vērā, ka atbilstoši Eiropas Savienības kohēzijas politikas programmā 2021.-2027.gadam noteiktajam šī pasākuma īstenošanai noteikti divi intervences kodi - Nr. 44 "Publiskās infrastruktūras atjaunošana energoefektivitātes uzlabošanai vai energoefektivitātes pasākumi, demonstrējuma projekti un atbalsta pasākumi" un "Nr.52 “Citu atjaunojamo energoresursu enerģija (tostarp ģeotermālā enerģija)”.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skaidri izsekojamu informāciju par pasākuma ietekmi uz horizontālo principu "Energoefektivitāte pirmajā vietā", nepieciešamības gadījumā precizējot noteikumu projektā ietverto informāciju. Vienlaikus lūdzam papildināt anotāciju ar informāciju, vai pasākumam ir tieša vai netieša ietekme uz horizontālo principu "Nenodarīt būtisku kaitējumu".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Ekonomikas ministriju, savukārt atbilstošajā apakšsadaļā "Ietekmes apraksts" norādot, ka Ekonomikas ministrija pildīs atbildīgās iestādes funkcijas, savukārt attiecīgie plānotie projekta iesniedzēji pildīs finansējuma saņēmēju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investīciju jomas pārstāvošu biedrību, nodibinājumu, nevalstisko organizāciju  iesaisti Ministru kabineta noteikumu projekta izstrādē.  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