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22-TA-2689: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28. decembra noteikumos Nr. 1228 "Noteikumi par lielgabarīta un smagsvara pārvadājumu atļaujas izsniegšanas valsts nodevas apmēru, samaksas kārtību un atbrīvojumiem"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nodevas par lielgabarīta un smagsvara pārvadājuma apmēru, maksāšanas kārtību, un atbrīvojumus no tās.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likuma "Par autoceļiem" 6. panta trešā daļa paredz pilnvarojumu Ministru kabinetam noteikt valsts nodevas </w:t>
            </w:r>
            <w:r w:rsidR="00000000" w:rsidRPr="00000000" w:rsidDel="00000000">
              <w:rPr>
                <w:u w:val="single"/>
                <w:rtl w:val="0"/>
              </w:rPr>
              <w:t xml:space="preserve">par lielgabarīta un smagsvara pārvadājumu atļaujas izsniegšanu</w:t>
            </w:r>
            <w:r w:rsidR="00000000" w:rsidRPr="00000000" w:rsidDel="00000000">
              <w:rPr>
                <w:rtl w:val="0"/>
              </w:rPr>
              <w:t xml:space="preserve"> (turpmāk – nodeva) apmēru, maksāšanas kārtību un atbrīvojumus. Ievērojot minēto, lūdzam atbilstoši precizēt projekta 1.1. apakšpunktā piedāvāto Ministru kabineta 2010. gada 28. decembra noteikumu Nr. 1228 "Noteikumi par lielgabarīta un smagsvara pārvadājumu atļaujas izsniegšanas valsts nodevas apmēru, samaksas kārtību un atbrīvojumiem" (turpmāk – Noteikumi Nr. 1228)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 nodevas samaksas ir atbrīvoti transportlīdzekļu īpašnieki (turētāji, valdītāji), kas lielgabarīta un smagsvara pārvadājumiem izmanto šajā punktā minētos transportlīdzekļus: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 apakšpunktā piedāvātā Noteikumu Nr. 1228 7. punkta ievaddaļa noteic, ka no nodevas samaksas ir atbrīvoti transportlīdzekļu īpašnieki (turētāji, valdītāji), kas lielgabarīta un smagsvara pārvadājumiem izmanto šajā punktā minētos transportlīdzekļus. Vēršam uzmanību, ka minētajā punktā vienlaikus norādīti gan tiesību subjekti (Iekšlietu ministrijas un Aizsardzības ministrijas institūcijas), gan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1.7. apakšpunktā piedāvāto Noteikumu Nr. 1228 7. punktu, nodrošinot skaidru un nepārprotamu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nodevas apmērs par lielgabarīta un smagsvara pārvadājumu atļaujas izsniegšanu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Nr. 1228 spēkā esošajā redakcijā ir tikai viens pielikums. Ievērojot minēto, lūdzam atbilstoši precizēt projekta 1.8.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Nodevu vienam pārvadājumam pa noteiktu maršrutu maksā saskaņā ar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noteiktajām likmēm, summējot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noteiktās nodevas likmes par katra </w:t>
            </w:r>
            <w:r w:rsidR="00000000" w:rsidRPr="00000000" w:rsidDel="00000000">
              <w:rPr>
                <w:rtl w:val="0"/>
              </w:rPr>
              <w:t xml:space="preserve">Ministru kabineta 2015. gada 2. jūnija noteikumu Nr. 279 “Ceļu satiksmes noteikumu”</w:t>
            </w:r>
            <w:r w:rsidR="00000000" w:rsidRPr="00000000" w:rsidDel="00000000">
              <w:rPr>
                <w:rtl w:val="0"/>
              </w:rPr>
              <w:t xml:space="preserve"> (turpmāk – Ceļu satiksmes noteikumi)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noteiktā transportlīdzekļa vai transportlīdzekļu sastāva parametra pārsniegšanu.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 gada 6. aprīļa noteikumu Nr. 343 "Noteikumi par lielgabarīta un smagsvara pārvadājumiem" 8. punkta pirmais teikums noteic, ka lielgabarīta un smagsvara pārvadājumu atļauju izsniedz lielgabarīta vai smagsvara transportlīdzeklim vienai nedalāmas kravas pārvadāšanas reizei pa noteiktu maršrutu. Ievērojot, ka atbilstoši Ministru kabineta 2009. gada 3. februāra noteikumu Nr. 108 "Normatīvo aktu projektu sagatavošanas noteikumi" 3.2. apakšpunktam normatīvā akta projektā neietver normas, kas dublē augstāka vai tāda paša spēka normatīvā akta tiesību normās ietverto normatīvo regulējumu, lūdzam svītrot projekta 1.4. apakšpunktā piedāvātajā Noteikumu Nr. 1228 4. punktā vārdus "vienam pārvadājumam pa noteiktu maršrutu".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22-TA-2689</w:t>
    </w:r>
    <w:r>
      <w:br/>
    </w:r>
    <w:r w:rsidR="00000000" w:rsidRPr="00000000" w:rsidDel="00000000">
      <w:rPr>
        <w:rtl w:val="0"/>
      </w:rPr>
      <w:t xml:space="preserve">Izdrukāts 21.03.2023. 19.38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22-TA-2689</w:t>
    </w:r>
    <w:r>
      <w:br/>
    </w:r>
    <w:r w:rsidR="00000000" w:rsidRPr="00000000" w:rsidDel="00000000">
      <w:rPr>
        <w:rtl w:val="0"/>
      </w:rPr>
      <w:t xml:space="preserve">Izdrukāts 21.03.2023. 19.38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Atzinumi_22-TA-2689.docx</dc:title>
</cp:coreProperties>
</file>

<file path=docProps/custom.xml><?xml version="1.0" encoding="utf-8"?>
<Properties xmlns="http://schemas.openxmlformats.org/officeDocument/2006/custom-properties" xmlns:vt="http://schemas.openxmlformats.org/officeDocument/2006/docPropsVTypes"/>
</file>