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Projekta netiešās attiecināmās izmaksas plāno kā vienu izmaksu pozīciju, piemērojot netiešo izmaksu vienoto likmi 15 procentu apmērā no šo noteikumu </w:t>
            </w:r>
            <w:r w:rsidR="00000000" w:rsidRPr="00000000" w:rsidDel="00000000">
              <w:rPr>
                <w:rtl w:val="0"/>
              </w:rPr>
              <w:t xml:space="preserve">35.1. </w:t>
            </w:r>
            <w:r w:rsidR="00000000" w:rsidRPr="00000000" w:rsidDel="00000000">
              <w:rPr>
                <w:rtl w:val="0"/>
              </w:rPr>
              <w:t xml:space="preserve">apakšpunktā</w:t>
            </w:r>
            <w:r w:rsidR="00000000" w:rsidRPr="00000000" w:rsidDel="00000000">
              <w:rPr>
                <w:rtl w:val="0"/>
              </w:rPr>
              <w:t xml:space="preserve"> minētajām izmaksām, netiešo izmaksu vienoto likmi nepiemērojot projektiem, kas kvalificējami kā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atbalstāma nevienlīdzīga pieeja izmaksu attiecināšanā, proti, netiešo izmaksu piemērošana tikai projektos, kas nav kvalificējami kā komercdarbības atbalsts. Līdz ar to aicinām pārvērtēt noteikumu projekta attiecīgā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projekta vadības personāla izmaksas, kas tieši saistītas ar projektu īstenošanu un mērķa sasniegšanu un radušās uz darba līguma vai uzņēmuma līguma (pakalpojuma līguma) pamata, tai skaitā valsts sociālās apdrošināšanas obligātās iemaksas no apliekamajām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sniegto informāciju, turpinām uzturēt iepriekšēja atzinumā izteikto iebildumu un lūdzam izvērtēt iespēju izstrādāt un piemērot vienības izmaksu standarta likmi personāla atlīdzības izmaksu segšanai saskaņā ar Finanšu ministrijas vadlīnijām Nr.1.1. "Vadlīnijas par vienkāršoto izmaksu izmantošanas iespējām un to piemērošana Eiropas Savienības kohēzijas politikas programmas 2021.–2027.gadam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projekta uzraudzību visā projekta pārskata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noteikumu projekta normas attiecībā uz jēdziena "projekta pārskata perioda" lietojumu, ņemot vērā to, ka atšķirībā no jēdziena "projekta dzīves cikla laikā", nav skaidrs, vai lietotais jēdziens "projekta pārskata periods" termiņa ziņā ir pielīdzināms projekta dzīves cikla laikam. Lūdzam nodrošināt jēdziena atbilstību komercdarbības atbalsta kontroles regulējuma prasībām, proti, nodrošināt uzraudzību visā amortizācijas periodā – projekta dzīves ciklā. Lūdzam anotācijā skaidrot arī kurā dokumentā tiek definēts aktīvu amortizācijas perioda noteiktais ilgums, piemēram, Komisijas 2014. gada 3. marta Deleģētajā Regulā (ES) Nr. 480/2014, ar kuru papildina Eiropas Parlamenta un Padomes Regulu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I pielikumam, vai kādā nacionālā normatīvajā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anotāciju ar pamatojumu valsts budžeta līdzfinansējuma paredzēšanai valsts akciju sabiedrībai "Valsts nekustamie īpašumi” par kultūras nozares deleģētās funkcijas īstenošanu atjaunojamajā objektā.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Reģionālās attīstības fonda projekta (turpmāk – projekts) iesniedzējiem, finansējuma saņēmējiem un projekta sadarbības partneriem (ja tos pieaicina);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noteikumu projekta 1.4.apakšpunktu un  svītrot vārdu "projekta" pirms vārdiem "sadarbības partneriem", kā arī svītrot vārdus iekavās.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un sadarbības partneris var saņemt ieguldījumu atbalstu no publiskā finansējuma,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noteikumu projekts tika precizēts attiecībā uz "komercdarbības atbalsta" jēdziena lietojumu, tomēr atsevišķos punktos ir saglabājies nekorekts jēdziena lietojums "valsts atbalsts komercdarbībai". Lūdzam visā noteikumu projektā lietot vienādi korektu jēdzienu "komercdarbības atbalsts".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iesniedzējs nevar pretendēt uz finansējumu un sadarbības partneris nevar tikt iesaistīts projekta īstenošanā,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punktu, lai būtu skaidrs, ka tas attiecas tikai uz situāciju, ja projekta iesniedzējs pretendē uz komercdarbības atbalstu.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Grantiņa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nodrošina informācijas un publicitātes pasākumus saskaņā ar Eiropas Parlamenta un Padomes (ES) 2021. gada 24. jūnija Regulas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47. un 50. pantu un normatīvajiem aktiem par kārtību, kādā Eiropas Savienības fondu vadībā iesaistītās institūcijas nodrošina šo fondu ieviešanu 2021. -2027. gada plānošanas periodā, kā arī Eiropas Savienības fondu 2021. -2027.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vadošās iestādes 2023. gada 30.maija vadlīniju 1.4. "Vadlīnijas Ministru kabineta noteikumu par specifiskā atbalsta mērķa īstenošanu izstrādei Eiropas Savienības fondu 2021.—2027. gada plānošanas periodā" 31.punktā lietoto jēdzienu "komunikācijas un vizuālās identitātes prasību nodrošināšanas nosacījumi" aicinām precizēt 30.3.apakšpunktu, 32.5.,  35.10.apakšpunktu.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Projekta tiešās attiecināmās izmaksas, kas sekmē šo noteikumu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minētās atbalstāmās darbības,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uzturam Finanšu ministrijas 2023.gada 19.jūnija atzinumā izteikto iebildumu (izziņas 9.punkts) par nepieciešamību papildināt anotācijas V. sadaļas 1. tabulu ar normas atbilstības izvērtējumu pret Komisijas regulas Nr. 651/2014 53. panta 4.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35.10. projekta informācijas un publicitātes pasākumu izmaksas atbilstoši normatīvajiem aktiem par kārtību, kādā Eiropas Savienības fondu ieviešanā 2021.-2027. gada plānošanas periodā nodrošināma komunikācijas un vizuālās identitātes prasību ievērošana. Ja projekta iesniegumam sniegtais atbalsts ir uzskatāms par komercdarbības atbalstu, publicitātes izmaksas nav attiecināmas;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attiecībā uz publicitātes izmaksām atbilstoši Eiropas Komisijas 2023.gada 18.aprīļa skaidrojumam eWIKI platformā uz Horvātijas jautājumu (pieejams šeit: https://webgate.ec.europa.eu/fpfis/wikis/display/StateAid/Art+56.a+-+eligible+costs+-+interpretation), tās var būt attiecināmas pasākuma ietvaros, taču publiskā finansējuma piešķiršana tām nekvalificējas kā komercdarbības atbalsts. Attiecīgi, ja tomēr noteikumu projekta ietvaros ir plānots attiecināt publicitātes izmaksas, aicinām veikt attiecīgos precizējumus, tomēr vienlaikus nenosakot šīs izmaksas kā attiecināms ar Komisijas regulas Nr. 651/2014 53.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35.10. projekta informācijas un publicitātes pasākumu izmaksas atbilstoši normatīvajiem aktiem par kārtību, kādā Eiropas Savienības fondu ieviešanā 2021.-2027. gada plānošanas periodā nodrošināma komunikācijas un vizuālās identitātes prasību ievērošana. Ja projekta iesniegumam sniegtais atbalsts ir uzskatāms par komercdarbības atbalstu, publicitātes izmaksas nav attiecināmas;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35.10.apakšpunktā precizēt atsauci uz normatīvā akta jomu. Vēršam uzmanību, ka daļa publicitātes prasību ir iestrādātas normatīvajā aktā par kārtību, kādā Eiropas Savienības fondu vadībā iesaistītās institūcijas nodrošina šo fondu ieviešanu 2021.–2027.gada plānošanas periodā (Noteikumu projekts 22-TA-2143).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ja pašu ieņēmumi atbalstītajā objektā ir lielāki par 50 procentiem no kultūras jomas pakalpojumu sniedzēja gada budžeta, tad projektam ir saimniecisks raksturs, tomēr tas nav kvalificējams kā atbalsts komercdarbībai, jo projektam nav ietekmes uz konkurenci un tirdzniecību Eiropas Savienības iekšējā tirgū.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tiesisko skaidrību, lūdzu pārcelt uz noteikumu tekstu no anotācijas kritērijus, kas vērtējami, lai pārliecinātos par to, ka projektam, kuram ir saimniecisks raksturs, nav ietekmes uz konkurenci un tirdzniecību Eiropas Savienības iekšējā tirgū: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85 procenti un vairāk no visiem kultūras jomā sniegto pakalpojumu saņēmējiem/apmeklētājiem atbalstītajā objektā gadā ir Latvijas iedzīvotāji;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īstenotie kultūras pasākumi (koncerti, izrādes, performances u.c.) pārsvarā notiek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objekts netiek plaši reklamēts ārpus Latvijas teritorijas (netiek veiktas starptautiskas mārketinga aktivitātes u.c. darbības pārrobežu reklāmas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šobrīd piedāvātās punkta redakcijas var nolasīt, ka projekts nekvalificēsies kā komercdarbības atbalsts nevienā no 42.1. un 42.2.apakšpunktā minētajiem gadījumiem. Lai tiesību norma būtu precīza, lūdzu tehniski precizēt, aizstājot vārdus "nav kvalificējams kā atbalsts komercdarbībai, jo projektam nav ietekmes uz" ar vārdiem "nav kvalificējams kā atbalsts komercdarbībai, ja projektam nav ietekmes uz".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Grantiņa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iznākuma rādītāja “Atbalstīto kultūras un tūrisma objektu skaits” sasniedzamā vērtība ir mazāka, nekā sākotnēji šajā pasākumā tika paredzēts, kā arī KM izziņā sniegto skaidrojumu, ka pieejas maiņas dēļ kopumā KM pārziņā esošajos pasākumos programmas rādītājs tiks sasniegts ievērojami mazākā apjomā, un plānots rosināt attiecīgus programmas grozījumus, lūdzam ar šo informāciju papildināt arī anotāciju pie plānoto rādītāju sadaļas.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KM ir saistoša un jānodrošina programmā noteiktā rādītāja sasniegšana kopsummā visos pasākumos. Attiecīgi, šobrīd neiebilstam noteikumu projekta tālākai virzībai, taču lūdzam KM jau savlaicīgi izstrādāt attiecīgus programmas grozījumus un pamatojumu. Pirms 5.1.1.6.pasākuma “Kultūras mantojuma saglabāšana un jaunu pakalpojumu attīstība” ieviešanas nosacījumu izstrādes un virzības apstiprināšanai būtu jāsaņem vismaz neformāls Eiropas Komisijas saskaņojums plānotajām iznākuma rādītāju izmaiņām, un minētā pasākuma ieviešanas nosacījumi varēs tikt apstiprināti tikai pēc attiecīgu programmas grozījumu veikšanas, vai virzot valdībā lēmumu par izņēmumu / uzņemoties risku pirms Eiropas Komisijas lēmuma par programmas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14.07.2023. 15.41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14.07.2023. 15.41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Atzinumi_23-TA-1258.docx</dc:title>
</cp:coreProperties>
</file>

<file path=docProps/custom.xml><?xml version="1.0" encoding="utf-8"?>
<Properties xmlns="http://schemas.openxmlformats.org/officeDocument/2006/custom-properties" xmlns:vt="http://schemas.openxmlformats.org/officeDocument/2006/docPropsVTypes"/>
</file>