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pasē steidzamības pamatojumā ir norādīts, ka faktiskais normatīvā regulējuma neefektīvs piemērojums praksē pēc prioritāro komersantu saraksta apstiprināšanas ir radījis būtisku administratīvo slogu pakalpojumu sniedzējiem. Ņemot vērā, ka anotācijā izvērtējuma rezultātā nav norādīts būtisks administratīvā sloga samazinājums pakalpojuma sniedzējiem, lūdzu rediģēt norādīto steidzamības pamatojumu, dzēšot apgalvojumu par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aģentūrai ir veikts administratīvo izmaksu monetārs novērtējums, kas atspoguļo sloga samazinājumu. Lūdzu izvērtēt veikto aprēķinu, jo administratīvais slogs ir informācijas sniegšanas pienākums, savukārt aprēķina skaidrojumā ir iekļauta informācija, ka patērētais laiks ir par komersantu sākotnējo izvērtēšanu, kas ir iestādes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veicot aprēķinu, lūdzu iekļaut izmaiņas, kas rodas no rakstiskas komersantu, citu iestāžu un privātpersonu informēšanas par pieņemto lēmumu, neiekļaujot vērtēšanai patērēto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29.12.2025.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29.12.2025.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