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atbalstu lauksaimniecībai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 līdz kārtējā gada 1. augustam iesniedz Lauku atbalsta dienestā starppārskatu par kārtējo darbu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vienības, kurās pretendentiem paredzēti atbalsta saņemšanas nosacījumi. Vēršam uzmanību, ka, piemēram, 87. punktā noteikts, ka, lai saņemtu atbalstu lauksaimniecības dzīvnieku gēnu bankas darbības nodrošināšanai, pretendents iesniedz "[..] </w:t>
            </w:r>
            <w:r w:rsidR="00000000" w:rsidRPr="00000000" w:rsidDel="00000000">
              <w:rPr>
                <w:i w:val="1"/>
                <w:rtl w:val="0"/>
              </w:rPr>
              <w:t xml:space="preserve">pārskatu par pasākumu izpildi un samaksu apliecinošu dokumentu kopsavilkumu par atbalsta īstenošanu</w:t>
            </w:r>
            <w:r w:rsidR="00000000" w:rsidRPr="00000000" w:rsidDel="00000000">
              <w:rPr>
                <w:rtl w:val="0"/>
              </w:rPr>
              <w:t xml:space="preserve"> [..]". Skaidrojams, ka nav loģiski noteikt, ka, lai saņemtu atbalstu ir jāiesniedz "</w:t>
            </w:r>
            <w:r w:rsidR="00000000" w:rsidRPr="00000000" w:rsidDel="00000000">
              <w:rPr>
                <w:i w:val="1"/>
                <w:rtl w:val="0"/>
              </w:rPr>
              <w:t xml:space="preserve">pārskats par pasākumu izpildi un samaksu apliecinoši dokumenti</w:t>
            </w:r>
            <w:r w:rsidR="00000000" w:rsidRPr="00000000" w:rsidDel="00000000">
              <w:rPr>
                <w:rtl w:val="0"/>
              </w:rPr>
              <w:t xml:space="preserve">", jo saprotams, ka praktiski, uz iesnieguma iesniegšanas brīdi, tas vēl nav noticis.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Pēc iesnieguma izvērtēšanas komisija pieņem lēmumu par atbalsta piešķiršanu vai atteikumu piešķirt atbalstu vai atliek iesnieguma izskatīšanu, pieprasot papildu informāciju, un attiecīgo lēmumu 10 dienu laikā nosūta pretendentam. Lēmuma pieņemšanas diena uzskatāma par valsts atbalsta piešķiršanas dienu.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153. un 159. punktu nepieciešams izvērtēt un precizēt. Vēršam uzmanību, ka projekta 138. punktā un turpmāk projekta tekstā noteiktais Agroresursu un ekonomikas institūts (institūts) ar savām darbībām veic valsts pārvaldes uzdevumu, tai skaitā valsts budžeta piešķirtā finansējuma (atbalsta) sadali. Ievērojot minēto, institūta izveidotās komisijas pieņemtie lēmumi faktiski ir administratīvie akti, kas jāpieņem un jāpaziņo Administratīvā procesa likumā un Paziņošanas likumā noteiktajā kārtībā. Ievērojot minēto, piedāvājam projektā neveidot regulējumu, kas ir pretrunā ar minētajos likumos noteikto, piemēram projekta 153.punkta otrais teikums, jo nosūtīšana un paziņošana (lēmuma spēkā stāšanās) atbilstoši Paziņošanas likumam ir dažādi nosacījumi, tāpat arī nesamērīgi lieli – 10 vai 14 dienas ir lēmuma nosūtīšanas termiņi. Vienlaikus piedāvājam izvērtēt iespēju projektā precīzāk nodalīt terminus “zinātniskais institūts”, kas būs atbalsta saņēmējs un “institūts”, kas būs lēmuma pieņēmējs citiem atbalsta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5.4. sadaļas 1. tabulu ar  skaidrojumiem par to, kā ir izmantota Eiropas Savienības tiesību aktā paredzētā rīcības brīvība dalībvalstij pārņemt vai ieviest noteiktas tiesību akta normas? Kādēļ?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projekta redakcijai un skaidrojumiem anotācijas 5.4. apakšsadaļas 1. tabulā saprotams, ka, piemēram, regula 1408/2013 tiek ieviesta pilnā apmērā, attiecīgi anotācijas 5.4. apakšsadaļā skaidrojama visu no tās izrietošo rīcības brīvību izmantošana/neizmantošana. Piemēram, regulas 1408/2013 3. panta 3.a punkts paredz, ka, "</w:t>
            </w:r>
            <w:r w:rsidR="00000000" w:rsidRPr="00000000" w:rsidDel="00000000">
              <w:rPr>
                <w:i w:val="1"/>
                <w:rtl w:val="0"/>
              </w:rPr>
              <w:t xml:space="preserve">[a]tkāpjoties no 2. un 3. punkta, </w:t>
            </w:r>
            <w:r w:rsidR="00000000" w:rsidRPr="00000000" w:rsidDel="00000000">
              <w:rPr>
                <w:i w:val="1"/>
                <w:u w:val="single"/>
                <w:rtl w:val="0"/>
              </w:rPr>
              <w:t xml:space="preserve">dalībvalsts var nolemt</w:t>
            </w:r>
            <w:r w:rsidR="00000000" w:rsidRPr="00000000" w:rsidDel="00000000">
              <w:rPr>
                <w:i w:val="1"/>
                <w:rtl w:val="0"/>
              </w:rPr>
              <w:t xml:space="preserve">, ka vienam vienotam uzņēmumam piešķirtā de minimis atbalsta kopējā summa jebkurā trīs fiskālo gadu periodā nepārsniedz 25 000  EUR [..]</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aicinām pilnībā aizpildīt anotācijas 5.4. sadaļas 1. tabulu ar atbilstošu informāciju par Eiropas Savienības tiesību normu ieviešanu projektā. Vēršam uzmanību, ka projektā ieviestas Eiropas Savienības regulu prasības - atsauces uz regulu normām. Skaidrojam, ka atsauču uz regulu un tās vienībām ietveršana normatīvajos aktos pēc būtības ir regulas prasību ieviešana, jo tādējādi tiek nodrošināta regulas prasību praktiskā piemērošana. Ņemot vērā minēto, aicinām anotācijas 5. sadaļā norādīt pilnīgu informāciju, vienlaikus precizējot arī anotācijas 1.3. apakšsadaļas skaidrojumus par regulu neieviešanu. Vēršam uzmanību, piemēram, uz atsaucēm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rtl w:val="0"/>
              </w:rPr>
              <w:t xml:space="preserve">Eiropas Parlamenta un Padomes 2009. gada 21. oktobra Regula (EK) Nr.  1069/2009, ar ko nosaka veselības aizsardzības noteikumus attiecībā uz dzīvnieku izcelsmes blakusproduktiem un atvasinātajiem produktiem, kuri nav paredzēti cilvēku patēriņam, un ar ko atceļ Regulu (EK) Nr.  1774/2002 (Dzīvnieku izcelsmes blakusproduktu regula) - projekta 70.2. un 77.2. apakšpunkts, </w:t>
            </w:r>
            <w:r w:rsidR="00000000" w:rsidRPr="00000000" w:rsidDel="00000000">
              <w:rPr>
                <w:rtl w:val="0"/>
              </w:rPr>
              <w:t xml:space="preserve">11. un 12. pielikums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rtl w:val="0"/>
              </w:rPr>
              <w:t xml:space="preserve">Eiropas Komisijas 2011. gada 25. februāra Regula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 - projekta 70.2. un 77.2.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Parlamenta un Padomes 2024. gada 11. aprīļa Regulas (ES) 2024/1143 par ģeogrāfiskās izcelsmes norādēm vīnam, stiprajiem alkoholiskajiem dzērieniem un lauksaimniecības produktiem, kā arī garantētu tradicionālo īpatnību produktiem un lauksaimniecības produktu fakultatīviem kvalitātes apzīmējumiem un ar ko groza Regulas (ES) Nr. 1308/2013, (ES) 2019/787 un (ES) 2019/1753 un atceļ Regulu (ES) Nr. 1151/2012 9. panta 1. punktā, 3. punkta "a" apakšpunktā un 4. punktā, kā arī 55. panta 1. punkts - projekta 167.1 un 167.2.2.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Komisijas 2022. gada 14. decembra Regulas (ES) 2022/2472, ar kuru, piemērojot Līguma par Eiropas Savienības darbību 107. un 108. pantu, dažu kategoriju atbalstu lauksaimniecības un mežsaimniecības nozarē un lauku apvidos atzīst par saderīgu ar iekšējo tirgu (Eiropas Savienības Oficiālais Vēstnesis, 2022. gada 21. decembris, Nr. L 327), (turpmāk – regula 2022/2472)  1. panta 5. punkta d) apakšpunkts - projekta 4.1.1.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Līgumu par Eiropas Savienības darbību un tā I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atsevišķi Eiropas Savienības tiesību akti un normas ieviesti arī projekta 15. un 20.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atbalstu lauksaimniecībai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nosaukumu, ņemot vērā, ka projekta nosaukums neatbilst Ministru kabineta 2009. gada 3. februāra noteikumu Nr. 108 "Normatīvo aktu projektu sagatavošanas noteikumi" (turpmāk - noteikumi Nr. 108) 91. un 92. punktam, kas noteic, ka noteikumu projekta nosaukumu veido atbilstošu likumā noteiktajam pilnvarojumam Ministru kabinetam un noteikumu saturam, vārdus “kārtība”, “noteikumi” v.tml. rakstot kā nosaukuma pēdējo vārdu un ka nosaukumu ar vārdiem “Noteikumi par” iesāk tikai retos izņēmuma gadījumos.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atbalstu lauksaimniecībai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Ministru kabineta 2021. gada 7. septembra noteikumu Nr. 606 "Ministru kabineta kārtības rullis" 55.2. apakšpunktu,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w:t>
            </w:r>
            <w:r w:rsidR="00000000" w:rsidRPr="00000000" w:rsidDel="00000000">
              <w:rPr>
                <w:u w:val="single"/>
                <w:rtl w:val="0"/>
              </w:rPr>
              <w:t xml:space="preserve">Par steidzamības pamatu netiek uzskatīts iepriekš laikus zināma uzdevuma izpildes termiņa kavējums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par steidzamības pamatojumu nevar būt tas, ka "</w:t>
            </w:r>
            <w:r w:rsidR="00000000" w:rsidRPr="00000000" w:rsidDel="00000000">
              <w:rPr>
                <w:i w:val="1"/>
                <w:rtl w:val="0"/>
              </w:rPr>
              <w:t xml:space="preserve">Noteikumu projekts nosaka atbalsta pasākumus, kas tiek īstenoti ar 2025. gada 1. janvāri. Tāpēc ir svarīgi, ka pretendenti pēc iespējas ātrāk saņem atbalstu.</w:t>
            </w:r>
            <w:r w:rsidR="00000000" w:rsidRPr="00000000" w:rsidDel="00000000">
              <w:rPr>
                <w:rtl w:val="0"/>
              </w:rPr>
              <w:t xml:space="preserve"> [..]", kas pēc būtības ir iepriekš laikus zināma uzdevuma izpildes termiņa kavējums.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datus par </w:t>
            </w:r>
            <w:r w:rsidR="00000000" w:rsidRPr="00000000" w:rsidDel="00000000">
              <w:rPr>
                <w:i w:val="1"/>
                <w:rtl w:val="0"/>
              </w:rPr>
              <w:t xml:space="preserve">de minimis</w:t>
            </w:r>
            <w:r w:rsidR="00000000" w:rsidRPr="00000000" w:rsidDel="00000000">
              <w:rPr>
                <w:rtl w:val="0"/>
              </w:rPr>
              <w:t xml:space="preserve"> atbalstu saskaņā ar regulas  2023/2831 6. panta 3. punktu un regulas  Nr. 1408/2013 6. panta 3. punktu glabā un informācijas pieejamību nodrošina 10 gadus, sākot no dienas, kad piešķirts pēdējais atbalsts šajos noteikumos minētajiem atbalsta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projektu un pārliecināties, ka tajā korekti ieviestas Eiropas Savienības tiesību normas un atsauces uz tām un anotācijas 5.4. apakšsadaļā sniegti precīzi skaidrojumi.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2013. gada 18. decembra Regulas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(turpmāk – regula 1408/2013) 6. panta 3. punkts grozīts ar Komisijas 2024. gada 10. decembra Regulas (ES) 2024/3118, ar ko groza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1. panta 6. punktu. Attiecīgi, anotācijas 5.4. apakšsadaļas 1. tabulā lūdzam pilnībā atspoguļot Eiropas Savienības tiesību aktu ieviešanu, uztveramības uzlabošanai paredzot atsauci uz korespondējošām tiesību normām, piemēram šādā redakcijā "Regulas 2024/3118 1. panta 6. punkts (grozītā 1408/2013 6. panta 3.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Labuma guvējam, kas ar atbalstāmo darbību nodrošina studentu praktisko apmācību vismaz piecus gadus, kā arī konsultatīvo darbību un zinātnisko pētniecību saskaņā ar augstākās izglītības valsts programmām lauksaimniecības nozarē, nevērtē tā atbilstību regulas </w:t>
            </w:r>
            <w:r w:rsidR="00000000" w:rsidRPr="00000000" w:rsidDel="00000000">
              <w:rPr>
                <w:rtl w:val="0"/>
              </w:rPr>
              <w:t xml:space="preserve">2022/2472</w:t>
            </w:r>
            <w:r w:rsidR="00000000" w:rsidRPr="00000000" w:rsidDel="00000000">
              <w:rPr>
                <w:rtl w:val="0"/>
              </w:rPr>
              <w:t xml:space="preserve"> 2. panta 52. un 59. punktā noteiktajiem mazā vai vidējā uzņēmuma un grūtībās nonākuša uzņēmuma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veikt nepieciešamos precizējumus projekta 7. punktā, jo tajā minētais regulas 2022/2472 2. panta 52. un 59. punkts nosaka mazā vai vidējā uzņēmuma un grūtībās nonākuša uzņēmuma definīcijas, nevis kritērijus. Piemēram, mikrouzņēmuma, mazā un vidējā uzņēmuma kritēriji ir noteikti iepriekš minētās regulas I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līdz 100 procentiem no administratīvajām izmaksām par ciltsgrāmatu iekārtošanu un uzturēšanu saskaņā ar regulas </w:t>
            </w:r>
            <w:r w:rsidR="00000000" w:rsidRPr="00000000" w:rsidDel="00000000">
              <w:rPr>
                <w:rtl w:val="0"/>
              </w:rPr>
              <w:t xml:space="preserve">2022/2472</w:t>
            </w:r>
            <w:r w:rsidR="00000000" w:rsidRPr="00000000" w:rsidDel="00000000">
              <w:rPr>
                <w:rtl w:val="0"/>
              </w:rPr>
              <w:t xml:space="preserve"> 27. panta 5. punkta "c"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Tomēr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minēto projekta 11.4. apakšpunktā (regulas 2022/2472 27. panta 2. punkta "a" apakšpunkts) un visā projektā kopumā. Gadījumā, ja nepieciešams pārrakstīt Regulas normas, lūdzam tās pārrakstīt identiski un papildus skaidrot nepieciešamību veikt Regulas teksta daļu inkorporēšanu nacionālajos tiesību aktos.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līdz 100 procentiem no izmaksām par dzīvnieku līķu savākšanu un transportēšanu saskaņā ar regulas </w:t>
            </w:r>
            <w:r w:rsidR="00000000" w:rsidRPr="00000000" w:rsidDel="00000000">
              <w:rPr>
                <w:rtl w:val="0"/>
              </w:rPr>
              <w:t xml:space="preserve">2022/2472</w:t>
            </w:r>
            <w:r w:rsidR="00000000" w:rsidRPr="00000000" w:rsidDel="00000000">
              <w:rPr>
                <w:rtl w:val="0"/>
              </w:rPr>
              <w:t xml:space="preserve"> 27. panta 5. punkta "c"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un, ja nepieciešams, precizēt projekta 11.5. apakšpunktu, ņemot vērā, ka atbilstoši regulas 2022/2472 27. panta 5. punkta "c" apakšpunktam paredzēts, ka atbalsts sedz ne tikai izmaksas par dzīvnieku līķu savākšanu un transportēšanu, bet arī par iznīcināšanu.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pretendents, kas ir atzīta šķirnes lauksaimniecības dzīvnieku audzētāju biedrība vai atzīta krustojuma cūku audzētāju organizācija atbilstoši normatīvajiem aktiem par šķirnes lauksaimniecības dzīvnieku audzētāju biedrības un krustojuma cūku audzētāju organizācijas atzīšanu, kā arī audzēšanas programmas apstiprināšanas kārtību (turpmāk – organizācija);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12.1. apakšpunktā un turpmāk projekta tekstā paredzēto vārdkopas saīsinājumu “organizācija” piedāvājam izvērtēt saistībā ar projekta 111. punktā un turpmāk projekta tekstā paredzēto vārdkopas saīsinājumu “nevalstiskā organizācija” un tās precizēt. Vēršam uzmanību, ka jebkura atbilstoši Biedrību un nodibinājumu likumam izveidota biedrība vai nodibinājums, tai skaitā arī cūku audzētāju biedrība vienlaikus ir nevalstiskā organizācija. Ievērojot minēto, tiesiskās skaidrības nodrošināšanai un nepārprotamai atbilstošo subjektu identifikācijai piedāvājam projekta 12.1. apakšpunktu un 111. punktu definēt izvērstāk un vārdkopas saīsinājumus izteikt precīzāk, piemēram, projekta 12.1. apakšpunktā “lauksaimniecības dzīvnieku audzētāju organizācija”, bet projekta 111. punktā apzīmējumam neizmantot terminu “nevalstiskā organizācija”, bet saitīt to ar organizāciju darbību, piemēram, “izglītojoši konsultējoša organizācija”.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 blakusproduktu savākšanu, transportēšanu un pārstrādāšanu vai likvidēšanu atbilstoši prasībām, kuras norādītas Eiropas Parlamenta un Padomes 2009. gada 21. oktobra Regulā (EK) Nr. </w:t>
            </w:r>
            <w:r w:rsidR="00000000" w:rsidRPr="00000000" w:rsidDel="00000000">
              <w:rPr>
                <w:rtl w:val="0"/>
              </w:rPr>
              <w:t xml:space="preserve">1069/2009</w:t>
            </w:r>
            <w:r w:rsidR="00000000" w:rsidRPr="00000000" w:rsidDel="00000000">
              <w:rPr>
                <w:rtl w:val="0"/>
              </w:rPr>
              <w:t xml:space="preserve">, ar ko nosaka veselības aizsardzības noteikumus attiecībā uz dzīvnieku izcelsmes blakusproduktiem un atvasinātajiem produktiem, kuri nav paredzēti cilvēku patēriņam, un ar ko atceļ Regulu (EK) Nr. 1774/2002 (Eiropas Savienības Oficiālais Vēstnesis, 2009. gada 14. novembris, Nr. L 300), un Eiropas Komisijas 2011. gada 25. februāra Regulā (ES) Nr. </w:t>
            </w:r>
            <w:r w:rsidR="00000000" w:rsidRPr="00000000" w:rsidDel="00000000">
              <w:rPr>
                <w:rtl w:val="0"/>
              </w:rPr>
              <w:t xml:space="preserve">142/2011</w:t>
            </w:r>
            <w:r w:rsidR="00000000" w:rsidRPr="00000000" w:rsidDel="00000000">
              <w:rPr>
                <w:rtl w:val="0"/>
              </w:rPr>
              <w:t xml:space="preserve">,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(Eiropas Savienības Oficiālais Vēstnesis, 2011. gada 26. februāris, Nr. L 54). Uzraudzību un kontroli veic Pārtikas un veterinārais dienests atbilstoši normatīvajiem aktiem par prasībām tādu dzīvnieku izcelsmes blakusproduktu un atvasinātu produktu apritei, kas nav paredzēti cilvēku patēriņam;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ka atbilstoši juridiskās tehnikas prasībām, ja nepieciešams, Eiropas Savienības tiesību aktam, pirmajā vietā juridiskajā tekstā, kur lietots attiecīgais normatīvā akta nosaukums, var pieteikt saīsinājumu. Ņemot vērā, ka Eiropas Savienības tiesību aktiem var būt gari nosaukumi, iesakām tos lieki nepārrakstīt, bet tā vietā pieteikt un lietot to saīsinājumus.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Eiropas Komisijas 2011. gada 25. februāra Regula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(Eiropas Savienības Oficiālais Vēstnesis, 2011. gada 26. februāris, Nr. L 54) (turpmāk - Regula Nr. 142/2011).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Institūts pretendentu iesniegto dokumentu izvērtēšanai un lēmumu pieņemšanai izveido komisiju. Komisija iesniegumus vērtē to iesniegšanas secībā, ņemot vērā piešķirto finansējumu un šo noteikumu </w:t>
            </w:r>
            <w:r w:rsidR="00000000" w:rsidRPr="00000000" w:rsidDel="00000000">
              <w:rPr>
                <w:rtl w:val="0"/>
              </w:rPr>
              <w:t xml:space="preserve">150.</w:t>
            </w:r>
            <w:r w:rsidR="00000000" w:rsidRPr="00000000" w:rsidDel="00000000">
              <w:rPr>
                <w:rtl w:val="0"/>
              </w:rPr>
              <w:t xml:space="preserve"> minētos nosacījumus, atbilstoši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projektu un nodrošināt korektu redakciju. Vēršam uzmanību, ka, piemēram, projekta 152. punktā ir neprecīza iekšējā atsauce uz šo noteikumu 150. punktu, projekta 5.14. apakšpunktā dubulta atsauce uz  5.13. apakšpunktu, bet formulējot projekta 175. punktu nav ievērots noteikumu Nr. 108 159. punkts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projekta skaidrojumi ir vispārīgi un pietiekami konkrēti neatspoguļo visu no tā izrietošo. Attiecīgi, iesakām izvērst projekta skaidrojumus, piemēram, konkretizējot informāciju par izņēmuma gadījumiem vai īpašiem nosacījumiem, kas izriet no projekta, lai tiesību normu adresātiem tiktu nodrošināta pilnīga un korekta izpratne par to, kādi nosacījumi uz tiem attiecināmi un ir ievērojami. Piemēram, anotācijā skaidrots, ka no noteikumu 3.4. apakšnodaļas izriet, ka "</w:t>
            </w:r>
            <w:r w:rsidR="00000000" w:rsidRPr="00000000" w:rsidDel="00000000">
              <w:rPr>
                <w:i w:val="1"/>
                <w:rtl w:val="0"/>
              </w:rPr>
              <w:t xml:space="preserve">lauksaimniekam ir jāaizpilda de minimis atbalsta uzskaites veidlapa</w:t>
            </w:r>
            <w:r w:rsidR="00000000" w:rsidRPr="00000000" w:rsidDel="00000000">
              <w:rPr>
                <w:rtl w:val="0"/>
              </w:rPr>
              <w:t xml:space="preserve">", bet 3.4. apakšnodaļā nav noteiktas šādas prasības veidlapu aizpildīšanai.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nodrošināt projekta un anotācijas skaidrojumu terminoloģijas un satura salāgotību, korektumu. Piemēram, anotācijā lietots termins "</w:t>
            </w:r>
            <w:r w:rsidR="00000000" w:rsidRPr="00000000" w:rsidDel="00000000">
              <w:rPr>
                <w:i w:val="1"/>
                <w:rtl w:val="0"/>
              </w:rPr>
              <w:t xml:space="preserve">Valsts agrārās ekonomikas institūts</w:t>
            </w:r>
            <w:r w:rsidR="00000000" w:rsidRPr="00000000" w:rsidDel="00000000">
              <w:rPr>
                <w:rtl w:val="0"/>
              </w:rPr>
              <w:t xml:space="preserve">", bet projektā "</w:t>
            </w:r>
            <w:r w:rsidR="00000000" w:rsidRPr="00000000" w:rsidDel="00000000">
              <w:rPr>
                <w:i w:val="1"/>
                <w:rtl w:val="0"/>
              </w:rPr>
              <w:t xml:space="preserve">Agroresursu un ekonomikas institūts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tā kā spēkā esošā tiesību akta atzīšana par spēku zaudējušu ir paredzēta izstrādātajā tiesību akta projektā, to norāda nevis anotācijas 4. sadaļā, bet 1.3. apakšsadaļā. Vienlaicīgi skaidrojot šādu izmaiņu nepieciešamību un ietekmi uz Latvijas Republikas starptautiskajām saistībām, ieviestajām un/vai pārņemtajām Eiropas Savienības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ar Ministru kabineta 2013. gada 17. decembra noteikumiem Nr. 1524 "Noteikumi par valsts atbalstu lauksaimniecībai" tika ieviestas vairākas Eiropas Savienības regulas, kuras projektā un/vai tā anotācijā nav minētas. Ņemot vērā, ka daļa no tām joprojām ir spēkā esošas, secināms, ka tās vairs netiks ieviestas. Attiecīgi iesakām konkrēto informāciju atspoguļot arī anotācijā, nodrošinot pilnīgus skaidrojumus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esošais skaidrojums anotācijas 1.3. apakšsadaļā "</w:t>
            </w:r>
            <w:r w:rsidR="00000000" w:rsidRPr="00000000" w:rsidDel="00000000">
              <w:rPr>
                <w:i w:val="1"/>
                <w:rtl w:val="0"/>
              </w:rPr>
              <w:t xml:space="preserve">Tā kā noteikumos Nr. 1524 jāizdara daudz grozījumu, noteikumi sagatavoti jaunā redakcijā</w:t>
            </w:r>
            <w:r w:rsidR="00000000" w:rsidRPr="00000000" w:rsidDel="00000000">
              <w:rPr>
                <w:rtl w:val="0"/>
              </w:rPr>
              <w:t xml:space="preserve">" ir nepilnīgs, jo nenodrošina izpratni par esošā tiesiskā regulējuma problēmām un ir nekorekts, jo netiek izstrādāta jauna noteikumu redakcija, bet jauni noteikumi kā 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5. sadaļā norādīt korektu informāciju par projekta atbilstību Eiropas Savienības tiesību aktiem. Vēršam uzmanību, piemēram, uz anotācijas 5.4. apakšsadaļas 1.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rindas "Regulas 2022/2472 27. panta 2. punkta "c" un "d "apakšpunkts" "B" aili, jo atbilstoši projekta redakcijai konkrētā Eiropas Savienības tiesību norma tiek ieviesta noteikumu projekta 4.1.1.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rindas "Vispārīga atsauce uz regulu 2022/2472" "B" aili, jo atbilstoši projektam tā ieviesta arī projekta 10. un 11.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anotācijas 5.1. apakšsadaļā, skaidrojot regulu 2022/2472, lūdzam ievērot, ka tiek ieviests ne tikai tā 24.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24-TA-775</w:t>
    </w:r>
    <w:r>
      <w:br/>
    </w:r>
    <w:r w:rsidR="00000000" w:rsidRPr="00000000" w:rsidDel="00000000">
      <w:rPr>
        <w:rtl w:val="0"/>
      </w:rPr>
      <w:t xml:space="preserve">Izdrukāts 22.01.2025.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24-TA-775</w:t>
    </w:r>
    <w:r>
      <w:br/>
    </w:r>
    <w:r w:rsidR="00000000" w:rsidRPr="00000000" w:rsidDel="00000000">
      <w:rPr>
        <w:rtl w:val="0"/>
      </w:rPr>
      <w:t xml:space="preserve">Izdrukāts 22.01.2025.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Atzinumi_24-TA-775.docx</dc:title>
</cp:coreProperties>
</file>

<file path=docProps/custom.xml><?xml version="1.0" encoding="utf-8"?>
<Properties xmlns="http://schemas.openxmlformats.org/officeDocument/2006/custom-properties" xmlns:vt="http://schemas.openxmlformats.org/officeDocument/2006/docPropsVTypes"/>
</file>