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Preču un pakalpojumu piekļūstamības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Elektronisko sakaru pakalpojumam, tai skaitā ārkārtas gadījuma saziņai, piemēro šādas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2009.gada 3.februāra noteikumu Nr.108 “Normatīvo aktu projektu sagatavošanas noteikumi” 3.2.apakšpunktam normatīvā akta projektā neietver normas, kas dublē augstāka vai tāda paša spēka normatīvā akta tiesību normās ietverto normatīvo regulējumu. Aicinām precizēt projekta 15.punktu, ņemot vērā, ka Elektronisko sakaru likuma 19.panta otrās daļas 18.punktā elektronisko sakaru komersantam jau ir noteikts pienākums nodrošināt elektronisko sakaru pakalpojuma darbībā papildu funkcijas, kas paredzētas, lai apmierinātu personu ar invaliditāti vajadzības un nodrošinātu sadarbspēju ar palīgtehnoloģijām.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Lamba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12.12.2023.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12.12.2023.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