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23-TA-1129: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ir sasniedzami šādi iznākuma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anotācijas 1.3. apakšpunktu, norādot uz argumentiem, kas ļāvuši secināt, ka plānoto mērķi ir iespējams sasniegt, ja līdz 31.12.2024. un 31.12.2029. sešas iestādes un pakalpojumi būs saņēmuši atbalstu, kā arī vismaz indikatīvi norādīt uz iestādēm un pakalpojumiem, kam plānots atbalstu 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Daugule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līdz 2029. gada 31. decembrim sasniedzams šāds rezultāta rādītājs: iestāžu skaits, kuras sniedz datus un izmanto risku analīzes un vadības informācijas sistēmu agrīnā preventīvā atbalsta vajadzību noteikšanai, – 363.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anotācijas 1.3. apakšpunktu, norādot uz argumentiem, kas ļāvuši secināt, ka iestāžu skaits, kas sniedz datus un izmanto risku analīzes un vadības informācijas sistēmu agrīnā preventīvā atbalsta vajadzību noteikšanai būs tieši 363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Daugule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18.2.13. jaunradītu darba vietu aprīkojuma, biroja mēbeļu un tehnikas, datorprogrammu un licenču iegādes vai nomas izmaksas, tai skaitā aprīkojuma uzturēšanas un remonta izmaksas, bet ne vairāk kā 3 000 </w:t>
            </w:r>
            <w:r w:rsidR="00000000" w:rsidRPr="00000000" w:rsidDel="00000000">
              <w:rPr>
                <w:i w:val="1"/>
                <w:rtl w:val="0"/>
              </w:rPr>
              <w:t xml:space="preserve">euro </w:t>
            </w:r>
            <w:r w:rsidR="00000000" w:rsidRPr="00000000" w:rsidDel="00000000">
              <w:rPr>
                <w:rtl w:val="0"/>
              </w:rPr>
              <w:t xml:space="preserve">vienai darba vietai visā projekta īstenošanas laikā, ja projekta vadības vai īstenošanas personāls, t. sk. sadarbības partnera personāls, ir nodarbināts projektā vismaz 30 procentu apmērā no normālā darba laika uz darba līguma pamata. Ja projekta vadības un īstenošanas personāls, t. sk. sadarbības partnera personāls, ir nodarbināts nepilnu darba laiku vai daļlaiku, darba vietas aprīkojuma izmaksas ir attiecināmas proporcionāli atlīdzības procentuālajam sadalījumam;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bažas, ka noteikumu projekta 18.2.13.  apakšpunktā noteiktās izmaksas, iespējams, daļēji dublē noteikumu projekta 18.2.3. apakšpunktā ietverto regulējumu. Attiecīgi lūdzam izvērtēt, vai noteikumu projekta 18.2.13. apakšpunkts ir izteikts atbilstoši noteikumu Ministru kabineta 2009. gada 3. februāra noteikumu Nr. 108 „Normatīvo aktu projektu sagatavošanas noteikumi” 3.2. un 3.3. apakšpunktam un neatbilstības gadījumā izdarīt attiecīgus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Uzraudzības padomes nolikumu (uzraudzības padomes tiesības, pienākumus un personālsastāvu, pamatojoties uz iestāžu un organizāciju pilnvarojumiem) apstiprina Valsts kancelejas direktors.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noteikumu projektu ar pienākumu un termiņu finansējuma saņēmējam izstrādāt uzraudzības padomes nolikumu.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risinājuma aprakstu, norādot uz argumentiem, kas ļāvuši secināt, ka plānoto mērķi ir iespējams sasniegt, ja līdz 31.12.2024. un 31.12.2029. sešas iestādes un pakalpojumi būs saņēmuši atbalstu, kā arī vismaz indikatīvi norādīt uz iestādēm un pakalpojumiem, kam plānots atbalstu 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risinājuma aprakstu, norādot uz argumentiem, kas ļāvuši secināt, ka iestāžu skaits, kas sniedz datus un izmanto risku analīzes un vadības informācijas sistēmu agrīnā preventīvā atbalsta vajadzību noteikšanai, būs tieši 363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Daugule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terminus, jo aizgādnība attiecas uz pilngadīgām personām, kurām nepieciešama īpaša aizsardzība to veselības stāvokļa vai citu apstākļu dēļ (Civillikuma 217. panta otrā daļa). Savukārt attiecībā uz vecāku pienākumu pret bērniem tiek lietots termins aizgādība (Civillikuma 177.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fizisko personu, kuras tiesiskais regulējums ietekmē vai varētu ietekmēt, uzskaitījumu, aptverot arī audžuģimenes, jo audžuģimenes nepilda bērna aizbildņa pienākumu (Bāriņtiesu likuma 17. panta 10. punkts;  Ministru kabineta 2018. gada 26. jūnija noteikumu Nr. 354 “Audžuģimenes noteikumi” 75.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mērķis aptver arī koordinētu nepieciešamo agrīnās intervences pakalpojumu plānošanu un koordinēšanu, lūgums papildināt juridisko personu, kuras tiesiskais regulējums ietekmē vai varētu ietekmēt, uzskaitījumu, aptverot visas iestādes (ne tikai izglītības un veselības aprūpes iestādes), kuru labāku starpsektorālu sadarbību projekts sekmēs. Institūciju sadarbības organizēšanu un kārtību, kādā īstenojama bērnu tiesību aizsardzība, nosaka Ministru kabinets (Bērnu tiesību aizsardzības likuma 6. panta trešā daļa;  Ministru kabineta 2017. gada 12. septembra noteikumi Nr.545 "Noteikumi par institūciju sadarbību bērnu tiesību aizsardzībā").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Daugule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 tabulas B ailē norādītās atsauces uz noteikumu projekta vienībām.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23-TA-1129</w:t>
    </w:r>
    <w:r>
      <w:br/>
    </w:r>
    <w:r w:rsidR="00000000" w:rsidRPr="00000000" w:rsidDel="00000000">
      <w:rPr>
        <w:rtl w:val="0"/>
      </w:rPr>
      <w:t xml:space="preserve">Izdrukāts 21.06.2023. 17.06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23-TA-1129</w:t>
    </w:r>
    <w:r>
      <w:br/>
    </w:r>
    <w:r w:rsidR="00000000" w:rsidRPr="00000000" w:rsidDel="00000000">
      <w:rPr>
        <w:rtl w:val="0"/>
      </w:rPr>
      <w:t xml:space="preserve">Izdrukāts 21.06.2023. 17.06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Atzinumi_23-TA-1129.docx</dc:title>
</cp:coreProperties>
</file>

<file path=docProps/custom.xml><?xml version="1.0" encoding="utf-8"?>
<Properties xmlns="http://schemas.openxmlformats.org/officeDocument/2006/custom-properties" xmlns:vt="http://schemas.openxmlformats.org/officeDocument/2006/docPropsVTypes"/>
</file>