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un migrācijas lietu pārvaldes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izvērtēja maksas pakalpojumu detalizētos aprēķinus, attiecīgi vēršam uzmanību, ka virknei nodarbināto, kuri nodrošinās maksas pakalpojumu sniegšanu, norādītā mēnešalga ir zemāka nekā to paredz 2024.gada attiecīgās mēnešalgu grupas minimuma intervāls (atalgojuma skala 2024.gadam ir pieejama Ministru kabineta tīmekļvietnē: https://www.mk.gov.lv/lv/dati-par-darba-samaksu-un-nodarbinatajiem-valsts-parvalde sadaļā "Bāzes mēnešalga").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pielikumā ir norādīti plānotie ieņēmumi no maksas pakalpojumiem 2024.gadam un turpmāk, tad attiecīgi ir precizējams arī mēnešalgu apmērs gadījumos, kad tas ir zem 2024.gada attiecīgās mēnešalgu grupas skalas minimuma intervāla, kā arī attiecīgi jākoriģē maksas pakalpojumu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25.05.2023.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25.05.2023.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Atzinumi_23-TA-574.docx</dc:title>
</cp:coreProperties>
</file>

<file path=docProps/custom.xml><?xml version="1.0" encoding="utf-8"?>
<Properties xmlns="http://schemas.openxmlformats.org/officeDocument/2006/custom-properties" xmlns:vt="http://schemas.openxmlformats.org/officeDocument/2006/docPropsVTypes"/>
</file>