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1032 "Noteikumi par budžetu ieņēmumu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noteikumu projekta "Grozījums Ministru kabineta 2005. gada 27. decembra noteikumos Nr. 1032 "Noteikumi par budžetu ieņēmumu klasifikāciju"" sākotnējās ietekmes </w:t>
            </w:r>
            <w:r w:rsidR="00000000" w:rsidRPr="00000000" w:rsidDel="00000000">
              <w:rPr>
                <w:i w:val="1"/>
                <w:rtl w:val="0"/>
              </w:rPr>
              <w:t xml:space="preserve">(ex-ante)</w:t>
            </w:r>
            <w:r w:rsidR="00000000" w:rsidRPr="00000000" w:rsidDel="00000000">
              <w:rPr>
                <w:rtl w:val="0"/>
              </w:rPr>
              <w:t xml:space="preserve"> novērtējuma ziņojuma (anotācijas) 1.3. apakšsadaļā ietverto informāciju par to, ko paredz Dabas resursu nodokļa likuma 26.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un 26.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pants.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24-TA-901</w:t>
    </w:r>
    <w:r>
      <w:br/>
    </w:r>
    <w:r w:rsidR="00000000" w:rsidRPr="00000000" w:rsidDel="00000000">
      <w:rPr>
        <w:rtl w:val="0"/>
      </w:rPr>
      <w:t xml:space="preserve">Izdrukāts 28.06.2024.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24-TA-901</w:t>
    </w:r>
    <w:r>
      <w:br/>
    </w:r>
    <w:r w:rsidR="00000000" w:rsidRPr="00000000" w:rsidDel="00000000">
      <w:rPr>
        <w:rtl w:val="0"/>
      </w:rPr>
      <w:t xml:space="preserve">Izdrukāts 28.06.2024.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