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 saimnieciskās darbības veicējiem kas darbojas Komisijas regulas Nr. 2023/2831 1.panta 2. punkta noteiktajās darbībās </w:t>
            </w:r>
            <w:r w:rsidR="00000000" w:rsidRPr="00000000" w:rsidDel="00000000">
              <w:rPr>
                <w:i w:val="1"/>
                <w:rtl w:val="0"/>
              </w:rPr>
              <w:t xml:space="preserve">de minimis</w:t>
            </w:r>
            <w:r w:rsidR="00000000" w:rsidRPr="00000000" w:rsidDel="00000000">
              <w:rPr>
                <w:rtl w:val="0"/>
              </w:rPr>
              <w:t xml:space="preserve"> atbalsts tiek piešķirts saskaņā ar Komisijas regulu Nr. 1408/2013 vai Komisijas regulu Nr. 717/2014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redakcijā izteiktais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47.1. un 47.8. apakšpunkts ir savstarpējā pretrunā, jo nav skaidrs, kura no attiecīgajām regulām ir piemērojama, ja tiek nodalītas darbības, savukārt atbilstoši juridiskās tehnikas prasībām tiesību normām jābūt skaidrām. Ievērojot minēto, lūdzam salāgot abos minētajos apakšpunktos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24-TA-3304</w:t>
    </w:r>
    <w:r>
      <w:br/>
    </w:r>
    <w:r w:rsidR="00000000" w:rsidRPr="00000000" w:rsidDel="00000000">
      <w:rPr>
        <w:rtl w:val="0"/>
      </w:rPr>
      <w:t xml:space="preserve">Izdrukāts 11.04.2025.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24-TA-3304</w:t>
    </w:r>
    <w:r>
      <w:br/>
    </w:r>
    <w:r w:rsidR="00000000" w:rsidRPr="00000000" w:rsidDel="00000000">
      <w:rPr>
        <w:rtl w:val="0"/>
      </w:rPr>
      <w:t xml:space="preserve">Izdrukāts 11.04.2025.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Atzinumi_24-TA-3304.docx</dc:title>
</cp:coreProperties>
</file>

<file path=docProps/custom.xml><?xml version="1.0" encoding="utf-8"?>
<Properties xmlns="http://schemas.openxmlformats.org/officeDocument/2006/custom-properties" xmlns:vt="http://schemas.openxmlformats.org/officeDocument/2006/docPropsVTypes"/>
</file>