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“74.Gadskārtējā valsts budžeta izpildes procesā pārdalāmais finansējums” programmas 18.00.00 “Finansējums valsts drošības stiprināšanas pasākumiem” uz Ārlietu ministrijas, Centrālās finanšu līgumu aģentūras un Satiksmes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07.02.2024.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07.02.2024.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Atzinumi_24-TA-166.docx</dc:title>
</cp:coreProperties>
</file>

<file path=docProps/custom.xml><?xml version="1.0" encoding="utf-8"?>
<Properties xmlns="http://schemas.openxmlformats.org/officeDocument/2006/custom-properties" xmlns:vt="http://schemas.openxmlformats.org/officeDocument/2006/docPropsVTypes"/>
</file>