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1037 "Bāriņtiesas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konceptuāli iebilst jaunu amata vietu veidošanai, t.sk. arī pašvaldību iestādēs. Vēršam uzmanību, ka laika periodā kopš 2008.gada tieši valsts pārvaldes institūcijas ir veikušas būtisku </w:t>
            </w:r>
            <w:r w:rsidR="00000000" w:rsidRPr="00000000" w:rsidDel="00000000">
              <w:rPr>
                <w:b w:val="1"/>
                <w:u w:val="single"/>
                <w:rtl w:val="0"/>
              </w:rPr>
              <w:t xml:space="preserve">nodarbināto</w:t>
            </w:r>
            <w:r w:rsidR="00000000" w:rsidRPr="00000000" w:rsidDel="00000000">
              <w:rPr>
                <w:rtl w:val="0"/>
              </w:rPr>
              <w:t xml:space="preserve"> skaita optimizāciju, samazinot par 25% (jeb no 78,9 tk. nodarbināto 2008.gadā uz 59,05 tk nodarbināto 2024.gadā), savukārt pašvaldību struktūrās šis samazinājums analoģiskā laika periodā ir bijis tikai par 3,4% (no 121,5 tk. nodarbinātie 2008.gadā uz 117,39 tk. nodarbināto 2024.gadā), neskatoties uz veikto pašvaldību administratīvi teritoriālo reformu.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nepieciešamā amata vieta rodama veicot iekšējo amata vietu pārstrukturizāciju un neradot iespēju vēl vairāk palielināt gan amata vietu, gan arī nodarbināto skaitu pašvaldībās.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 sadaļā “Projekta izstrādē iesaistītās institūcijas un sabiedrības līdzdalības process” sākumā jāatzīmē, vai TA projektam ir jānodrošina sabiedrības līdzdalība. Ja tiek norādīts, ka sabiedrības līdzdalība nav jānodrošina, tad ir jāatzīmē "Jā" (jā, nav jānodrošina). Ņemot vērā, ka ir notikusi publiskā apspriešana, lūdzam attiecīgi precizēt norādi par sabiedrības līdzdalību. Vienlaikus lūdzam izvērtēt, un atbilstoši papildināt informāciju par projekta izstrādē iesaistītajām institūcijām.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atlīdzības aprēķiniem. Valsts kanceleja konceptuāli iebilst sagatavotajiem aprēķiniem, jo nav ievērota metodika, ko nosaka "Vadlīnijas tiesību akta projekta sākotnējās ietekmes novērtēšanai un novērtējuma ziņojuma sagatavošanai TAP", kas pieejamas https://www.mk.gov.lv/lv/administrativa-sloga-un-normativisma-mazinasana ). Vēršam uzmanību, ka mēnešalgas apmērs ir plānojams ne vairāk kā attiecīgās mēnešalgu grupas skalas intervāla viduspunkta apmērs.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norādāms, ka ņemot vērā plānojamo kopējo valdības budžeta deficītu šobrīd tiek lēsts, ka vismaz 2026.gadā mēnešalgu skalas intervāla apmērs tiks saglabāts 2025.gadam noteiktās bāzes mēnešalgas apmērā.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10., 16. un 17. punktā noteiktām izmaiņām tiek ietekmēts informācijas sniegšanas apjoms. Lūdzu, izvērtēt noteikumu projektā iekļauto informācijas sniegšanas pienākumu izmaiņas (noteikumu projekta 10., 16. un 17.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(informācijas sagatavošanas laiks, papildus iegūstamās informācijas metodes, informācijas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aizpildīt anotācijas 7. sadaļu, norādot noteikumu projekta izpildes nodrošināšanā iesaistītās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Bērnu aizsardzības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20.08.2025. 18.33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20.08.2025. 18.33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Atzinumi_22-TA-2897.docx</dc:title>
</cp:coreProperties>
</file>

<file path=docProps/custom.xml><?xml version="1.0" encoding="utf-8"?>
<Properties xmlns="http://schemas.openxmlformats.org/officeDocument/2006/custom-properties" xmlns:vt="http://schemas.openxmlformats.org/officeDocument/2006/docPropsVTypes"/>
</file>