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Alus Darītāju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Šobrīd, pārtikas un dzērienu ražotāji velta visas pūles, lai pielāgotos nebijušam  izejvielu un energoresursu cenu kāpumam. Izvērtējot, Likumprojekta ietekmi uz nozari, jāsecina, ka tā piemērošana no 2024. gada ir pāragra.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iekļaut Likumprojekta pārejas noteikumos tiesību normu, kas paredz  pirmo maksājumu 2026.gadā.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Pēteris Liniņš (LADS)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27.09.2023.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27.09.2023.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