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22-TA-1064: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Bērnu, jaunatnes un ģimenes attīstības pamatnostādnes 2022.-2027.gadam un Bērnu, jaunatnes un ģimenes attīstības pamatnostādņu 2022. – 2025. gadam īstenošanas plānu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Pamatnostādņu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Pamatnostādnes (2.pielikums)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to, ka ar Ministru kabineta 2022.gada 13.jūnija rīkojumu nr. 413 </w:t>
            </w:r>
            <w:r w:rsidR="00000000" w:rsidRPr="00000000" w:rsidDel="00000000">
              <w:rPr>
                <w:b w:val="1"/>
                <w:rtl w:val="0"/>
              </w:rPr>
              <w:t xml:space="preserve">Resocializācijas politikas pamatnostādnes 2022.-2027.gadam</w:t>
            </w:r>
            <w:r w:rsidR="00000000" w:rsidRPr="00000000" w:rsidDel="00000000">
              <w:rPr>
                <w:rtl w:val="0"/>
              </w:rPr>
              <w:t xml:space="preserve"> ir apstiprinātas, lūdzam precizēt 2.pielikumā iekļauto informāciju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Resocializācijas politikas pamatnostādnes 2022.-2027.gadam</w:t>
            </w:r>
            <w:r w:rsidR="00000000" w:rsidRPr="00000000" w:rsidDel="00000000">
              <w:rPr>
                <w:rtl w:val="0"/>
              </w:rPr>
              <w:t xml:space="preserve"> (</w:t>
            </w:r>
            <w:r w:rsidR="00000000" w:rsidRPr="00000000" w:rsidDel="00000000">
              <w:rPr>
                <w:i w:val="1"/>
                <w:rtl w:val="0"/>
              </w:rPr>
              <w:t xml:space="preserve">Ministru kabineta 2022.gada 13.jūnija rīkojums nr. 413</w:t>
            </w:r>
            <w:r w:rsidR="00000000" w:rsidRPr="00000000" w:rsidDel="00000000">
              <w:rPr>
                <w:rtl w:val="0"/>
              </w:rPr>
              <w:t xml:space="preserve">)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Vita Studente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14.11.2022. 22.16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22-TA-1064</w:t>
    </w:r>
    <w:r>
      <w:br/>
    </w:r>
    <w:r w:rsidR="00000000" w:rsidRPr="00000000" w:rsidDel="00000000">
      <w:rPr>
        <w:rtl w:val="0"/>
      </w:rPr>
      <w:t xml:space="preserve">Izdrukāts 14.11.2022. 22.16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