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21.00.00 “Finansējums vēlēšanu nodrošināšanai”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likuma "Par valsts budžetu 2024. gadam un budžeta ietvaru 2024., 2025. un 2026. gadam" 73. pantu, atbalstīt apropriācijas pārdali no budžeta resora "74. Gadskārtējā valsts budžeta izpildes procesā pārdalāmais finansējums" budžeta programmas 21.00.00 “Finansējums vēlēšanu nodrošināšanai” uz Vides aizsardzības un reģionālās attīstības ministrijas budžeta programmu 32.00.00 “Valsts reģionālās attīstības politikas īstenošana” 147 626 </w:t>
            </w:r>
            <w:r w:rsidR="00000000" w:rsidRPr="00000000" w:rsidDel="00000000">
              <w:rPr>
                <w:i w:val="1"/>
                <w:rtl w:val="0"/>
              </w:rPr>
              <w:t xml:space="preserve">euro</w:t>
            </w:r>
            <w:r w:rsidR="00000000" w:rsidRPr="00000000" w:rsidDel="00000000">
              <w:rPr>
                <w:rtl w:val="0"/>
              </w:rPr>
              <w:t xml:space="preserve"> apmērā, lai nodrošinātu sagatavošanos 2024. gada Eiropas Parlamenta vēlēšanām.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 1.punktā norādīto mērķi, ņemot vērā anotācijas 1.2. un 1.3. sadaļā norādīto informāciju, kam finansējums tiek pieprasīts, kā arī to, ka 2024. gada Eiropas Parlamenta vēlēšanas jau ir notikušas.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1.1.sadaļā svītrot norādīto atsauci uz Likuma par budžetu un finanšu vadību 9.panta piecpadsmito daļu, tā vietā norādot atsauci uz likuma "Par valsts budžetu 2024. gadam un budžeta ietvaru 2024., 2025. un 2026. gadam" 73. pantu, kā tas norādīts arī rīkojuma projekta 1.punktā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ar detalizētiem aprēķiniem, kas skaidro pieprasītā finansējuma apmēru, tai skaitā pamatojot finansējuma palielinājumu turpmākajiem gadiem. Norādām, ka atsauce uz  Ministru kabineta 2023. gada 13. jūnija sēdē (protokola Nr.32, 63.§ (23-TA-1382 IP) izskatīto ziņojumu “Par 2024.gada Eiropas Parlamenta vēlēšanu nodrošināšanu un par turpmāko atbalstu vēlēšanu organizēšanā" nav pietiekama, jo minētajam ziņojumam ir ierobežotas pieejamības statuss, taču atbilstoši rīkojuma projekta 3. punktam rīkojuma projektā paredzētā finansējuma pārdale būs jāskaņo ar Saeimas Budžeta un finanšu (nodokļu) komisiju un šobrīd nav pamatojuma nepieciešamā finansējuma aprēķina informācijai saglabāt ierobežotas pieejamības statusu, attiecīgi anotācijā ir jāsniedz skaidra un ar aprēķiniem pamatota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sniegt informāciju, vai norādītie 3 eksperti, kam tiek pieprasīts finansējums no 2024.gada 1. jūlija, arī faktiski uzsāks pienākumu izpildi VARAM-ā, sākot ar 2024.gada 1. jūliju.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 no budžeta resora “74. Gadskārtējā valsts budžeta izpildes procesā pārdalāmais finansējums” programmas 21.00.00 “Finansējums vēlēšanu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projektu ar jaunu punktu, paredzot uzdevumu VARAM iesniegt FM priekšlikumu VARAM valsts pamatbudžeta bāzes izdevumu 2025., 2026., 2027., un 2028.gadam precizēšanai budžeta programmā 32.00.00 “Valsts reģionālās attīstības politikas īstenošana” atbilstoši anotācijā norādītajām summām, paredzot, ka finansējuma pārdale tiek veikta no budžeta resora "74. Gadskārtējā valsts budžeta izpildes procesā pārdalāmais finansējums" budžeta programmas 21.00.00 “Finansējums vēlēšanu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24-TA-1366</w:t>
    </w:r>
    <w:r>
      <w:br/>
    </w:r>
    <w:r w:rsidR="00000000" w:rsidRPr="00000000" w:rsidDel="00000000">
      <w:rPr>
        <w:rtl w:val="0"/>
      </w:rPr>
      <w:t xml:space="preserve">Izdrukāts 27.06.2024. 11.16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24-TA-1366</w:t>
    </w:r>
    <w:r>
      <w:br/>
    </w:r>
    <w:r w:rsidR="00000000" w:rsidRPr="00000000" w:rsidDel="00000000">
      <w:rPr>
        <w:rtl w:val="0"/>
      </w:rPr>
      <w:t xml:space="preserve">Izdrukāts 27.06.2024. 11.16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Atzinumi_24-TA-1366.docx</dc:title>
</cp:coreProperties>
</file>

<file path=docProps/custom.xml><?xml version="1.0" encoding="utf-8"?>
<Properties xmlns="http://schemas.openxmlformats.org/officeDocument/2006/custom-properties" xmlns:vt="http://schemas.openxmlformats.org/officeDocument/2006/docPropsVTypes"/>
</file>