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25-TA-1023: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invazīvo sugu saraksts un pārvaldības pasākumi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Pašvaldība var izvēlēties vienu vai vairākus pasākumus un paredzēt to īstenošanu saistošajos noteikumos vai lēmumā par Spānijas kailgliemeža pārvaldības pasākumiem, nosakot zemes īpašniekiem, lietotājiem un tiesiskajiem valdītājiem pienākumu īstenot attiecīgos katalogā paredzētos pasākumus pašvaldības teritorijā vai tās daļās.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projektu, skaidri norādot, kuros konkrētos pašvaldības saistošajos noteikumos vai kādā veidā pašvaldības lēmumā pašvaldība var paredzēt Spānijas kailgliemeža pārvaldības pasākuma īstenošanu. Lūdzam anotācijā detalizēti skaidrot, kā zemes īpašnieks, lietotājs un tiesiskais valdītājs praktiski īstenos paredzētos pasākumus ( kādi pienākumi tiem tiek uzlikti, kādas darbības jāveic u.t.).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Agnita Atinga Švaža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noteikumu projektā ietverto prasību realizāciju un lai veicinātu invazīvo sugu apkarošanā iesaistīto personu izpratni par savām tiesībām un pienākumiem, lūdzam papildināt anotācijas 1.3. sadaļu ar informāciju par Sugu un biotopu likuma 23.</w:t>
            </w:r>
            <w:r w:rsidR="00000000" w:rsidRPr="00000000" w:rsidDel="00000000">
              <w:rPr>
                <w:vertAlign w:val="superscript"/>
                <w:rtl w:val="0"/>
              </w:rPr>
              <w:t xml:space="preserve">2</w:t>
            </w:r>
            <w:r w:rsidR="00000000" w:rsidRPr="00000000" w:rsidDel="00000000">
              <w:rPr>
                <w:rtl w:val="0"/>
              </w:rPr>
              <w:t xml:space="preserve"> pantā noteikto valsts institūciju un pašvaldību kompetenci invazīvo sugu apkarošanā. Lūdzam ietvert arī Sugu un biotopu likuma 30.1 un 30.pantā noteikto par administratīviem pārkāpumiem invazīvo sugu pārvaldības jomā, kā arī par kompetencēm administratīvā pārkāpuma procesā.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Doniņa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norādīto informāciju, skaidri nosaucot iestādes, kuras būs atbildīgas par noteikumu projektā paredzēto Spānijas kailgliemeža izplatības ierobežošanas, kontroles un iznīcināšanas pasākumu īstenošanu, kā arī par augu audzēšanas, turēšanas un tirdzniecības vietu kontroli un tirgotāju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paskaidrot katras iesaistītās iestādes kompetenci un pienākumu apjomu, ņemot vērā, ka pasākumu īstenošana paredzēta esošo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Agnita Atinga Švaža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25-TA-1023</w:t>
    </w:r>
    <w:r>
      <w:br/>
    </w:r>
    <w:r w:rsidR="00000000" w:rsidRPr="00000000" w:rsidDel="00000000">
      <w:rPr>
        <w:rtl w:val="0"/>
      </w:rPr>
      <w:t xml:space="preserve">Izdrukāts 14.01.2026. 14.58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25-TA-1023</w:t>
    </w:r>
    <w:r>
      <w:br/>
    </w:r>
    <w:r w:rsidR="00000000" w:rsidRPr="00000000" w:rsidDel="00000000">
      <w:rPr>
        <w:rtl w:val="0"/>
      </w:rPr>
      <w:t xml:space="preserve">Izdrukāts 14.01.2026. 14.58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Atzinumi_25-TA-1023.docx</dc:title>
</cp:coreProperties>
</file>

<file path=docProps/custom.xml><?xml version="1.0" encoding="utf-8"?>
<Properties xmlns="http://schemas.openxmlformats.org/officeDocument/2006/custom-properties" xmlns:vt="http://schemas.openxmlformats.org/officeDocument/2006/docPropsVTypes"/>
</file>