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Piemērojot </w:t>
            </w:r>
            <w:r w:rsidR="00000000" w:rsidRPr="00000000" w:rsidDel="00000000">
              <w:rPr>
                <w:rtl w:val="0"/>
              </w:rPr>
              <w:t xml:space="preserve">regulas Nr. 651/2014</w:t>
            </w:r>
            <w:r w:rsidR="00000000" w:rsidRPr="00000000" w:rsidDel="00000000">
              <w:rPr>
                <w:rtl w:val="0"/>
              </w:rPr>
              <w:t xml:space="preserve">  56.b pantu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komercdarbības atbalsta intensitāte atbilst </w:t>
            </w:r>
            <w:r w:rsidR="00000000" w:rsidRPr="00000000" w:rsidDel="00000000">
              <w:rPr>
                <w:rtl w:val="0"/>
              </w:rPr>
              <w:t xml:space="preserve">regulas Nr. 651/2014</w:t>
            </w:r>
            <w:r w:rsidR="00000000" w:rsidRPr="00000000" w:rsidDel="00000000">
              <w:rPr>
                <w:rtl w:val="0"/>
              </w:rPr>
              <w:t xml:space="preserve">  2. panta 26. punktā noteiktajai definīcijai, </w:t>
            </w:r>
            <w:r w:rsidR="00000000" w:rsidRPr="00000000" w:rsidDel="00000000">
              <w:rPr>
                <w:rtl w:val="0"/>
              </w:rPr>
              <w:t xml:space="preserve">regulas Nr. 651/2014</w:t>
            </w:r>
            <w:r w:rsidR="00000000" w:rsidRPr="00000000" w:rsidDel="00000000">
              <w:rPr>
                <w:rtl w:val="0"/>
              </w:rPr>
              <w:t xml:space="preserve">  56.b panta 4. punktā minētajiem nosacījumiem un regulas </w:t>
            </w:r>
            <w:r w:rsidR="00000000" w:rsidRPr="00000000" w:rsidDel="00000000">
              <w:rPr>
                <w:rtl w:val="0"/>
              </w:rPr>
              <w:t xml:space="preserve">Nr. 651/2014 56.b</w:t>
            </w:r>
            <w:r w:rsidR="00000000" w:rsidRPr="00000000" w:rsidDel="00000000">
              <w:rPr>
                <w:rtl w:val="0"/>
              </w:rPr>
              <w:t xml:space="preserve"> panta 5.punktā minētajiem attiecināmo izmaksu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11.punktā noteikto, ka "Pasākuma kopējais plānotais finansējums ir 25 088 344 euro [..]", kā arī anotācijā skaidroto, ka, piemēram, Liepājas ostas piestātnes Nr. 46 pārbūvei projekta kopējās izmaksas ir 23 090 050 euro, atkārtoti  lūdzam precizēt noteikumu projekta 28.punktu, skaidri iekļaujot noteikumu projektā atbalsta apjoma un piemērojamās atbalsta intensitātes aprēķināšanas principus konkrētām attiecināmām izmaksām saskaņā ar Regulas Nr. 651/2014 56.b panta 4. un 5. punktu. Papildus lūdzam papildināt arī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Sadarbības iestāde veic projekta  ieguldījumu uzraudzību visā  infrastruktūras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esošajā redakcijā noteikumu projekta 48.punkts attiecas uz visiem projektiem, savukārt, noteikumu projekta 44.punkts nosaka, ka "Ja komercdarbības atbalstu sniedz saskaņā ar regulas Nr. 651/2014 56.b pantu, sadarbības iestāde nodrošina projekta uzraudzību ieguldījumu amortizācijas periodā." Ņemot vērā, ka šobrīd normas daļēji dublējas, lūdzam precizēt noteikumu projektu, kā arī lietot terminu “ieguldījumu amortizācijas periodā”, nevis “infrastruktūras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to, kādā veidā izvēlēti plānotie projektu iesniedzēji/finansējuma saņēmēji, t.i., papildināt anotāciju ar skaidrojumu pēc būtības, kas pamato izvēlēto projektu iesniedzēju loku. Ņemot vērā to, ka, iesniedzot Eiropas Savienības kohēzijas politikas programmas 2021.-2027.gadam grozījumu priekšlikumu Eiropas Komisijai, jau bija izvēlēti potenciālie finansējuma saņēmēji, lai nodrošinātu informācijas izsekojamību un caurskatāmību, lūdzam skaidrot, kāpēc izvēlēti konkrētie divi finansējuma saņēmēji.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 finansējuma saņēmējs nodrošinās, ka līgums par Liepājas ostas piestātnes Nr. 46 pārbūves būvdarbu veikšanu tiek noslēgts pēc projekta iesnieguma par publiskā finansējuma saņemšanu iesniegšanas." Ņemot vērā, ka noteikumu projekts paredz ne tikai būvniecību, bet arī iekārtu iegādi (piemēram, daļa no noteikumu projekta 17.4.apakšpunktā minēto krasta elektroapgādes punkta un ostas iekārtu elektroapgādes izveidošanas izmaksām), lūdzam anotāciju papildināt arī ar informāciju, ka jebkurš līgums, kas atbilst "darbu sākums" definīcijai saskaņā ar Komisijas regulas Nr. 651/2014 2.pnata 23) punktu, tiek noslēgts pēc projekta iesnieguma par publiskā finansējuma saņemšanu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skaidrojumā attiecībā uz ostas infrastruktūras nomienieku papildināt anotāciju ar atsauci uz komunikāciju ar Eiropas Komisiju lietas SA.116227 (2024/N) - Providing of safe berthing of Ro-Ro ferries in the port of Liepaja /Applicability of Article 56b of the General Block Exemption Regulation ietvaros (Eiropas Komisijas viedoklis Viedās administrācijas un reģionālās attīstības ministrijas un Liepājas speciālās ekonomiskās zonas pārsūtīts ar Finanšu ministrijas 2025. gada 27. marta vēstuli Nr. 7-2/18/957).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informāciju sadalījumā pa finansējuma avotiem un gadiem, kā arī lūdzam šobrīd anotācijas 3.sadaļas 6.punktā norādīto informāciju </w:t>
            </w:r>
            <w:r w:rsidR="00000000" w:rsidRPr="00000000" w:rsidDel="00000000">
              <w:rPr>
                <w:i w:val="1"/>
                <w:rtl w:val="0"/>
              </w:rPr>
              <w:t xml:space="preserve">“Kohēzijas fonda finansējums pasākumu īstenošanai tiks pieprasīts no valsts budžeta programmas 80.00.00 “Nesadalītais finansējums Eiropas Savienības politiku instrumentu un pārējās ārvalstu finanšu palīdzības līdzfinansēto projektu un pasākumu īstenošanai”” </w:t>
            </w:r>
            <w:r w:rsidR="00000000" w:rsidRPr="00000000" w:rsidDel="00000000">
              <w:rPr>
                <w:rtl w:val="0"/>
              </w:rPr>
              <w:t xml:space="preserve">pārcelt uz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25-TA-2127</w:t>
    </w:r>
    <w:r>
      <w:br/>
    </w:r>
    <w:r w:rsidR="00000000" w:rsidRPr="00000000" w:rsidDel="00000000">
      <w:rPr>
        <w:rtl w:val="0"/>
      </w:rPr>
      <w:t xml:space="preserve">Izdrukāts 07.11.2025.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25-TA-2127</w:t>
    </w:r>
    <w:r>
      <w:br/>
    </w:r>
    <w:r w:rsidR="00000000" w:rsidRPr="00000000" w:rsidDel="00000000">
      <w:rPr>
        <w:rtl w:val="0"/>
      </w:rPr>
      <w:t xml:space="preserve">Izdrukāts 07.11.2025.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Atzinumi_25-TA-2127.docx</dc:title>
</cp:coreProperties>
</file>

<file path=docProps/custom.xml><?xml version="1.0" encoding="utf-8"?>
<Properties xmlns="http://schemas.openxmlformats.org/officeDocument/2006/custom-properties" xmlns:vt="http://schemas.openxmlformats.org/officeDocument/2006/docPropsVTypes"/>
</file>