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13. jūlija noteikumos Nr. 407 "Eiropas Savienības kohēzijas politikas programmas 2021.–2027. gadam 1.2.3. specifiskā atbalsta mērķa "Veicināt ilgtspējīgu izaugsmi, konkurētspēju un darba vietu radīšanu MVU, tostarp ar produktīvām investīcijām" 1.2.3.1. pasākuma "Atbalsts MVU inovatīvas uzņēmējdarbības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1.1. sadaļā "Pamatojums" aprakstā precizēt ierakstu par izmaiņu veikšanu lielo starptautisko sporta pasākumu atbalsta sniegšanas kārtībā, ņemot vērā, ka noteikumu grozījumos pēc būtības tiek svītrots atbalsts lielo sporta pasākumu atbalstam, nevis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anotācijā ietvert īsu skaidrojumu par izstrādātā noteikumu projekta ietekmi uz finansējuma saņēmēju – Latvijas Investīciju un attīstības aģentūru, kā arī par to, kādā veidā gala labuma guvēji, kuri līdz šim vēl nav iesnieguši finanšu atbalsta pieteikumus, tiks informēti par izstrādātajiem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informāciju par intervences kodiem, norādot pieejamā finansējuma sadalījumu starp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informāciju par LIAA operatīvajiem datiem, ka 1.2.3.1. pasākuma ietvaros nefinanšu atbalstu saņēmušo uzņēmumu skaits (RCO 04) – 852, kas pārsniedz Eiropas Savienības kohēzijas politikas programmā 2021.—2027. gadam (turpmāk — Programma) un SAM 1.2.3. rādītāju pasē noteikto mērķa vērtību, kā arī ar grantiem atbalstīto uzņēmumu skaitu (RCO 02) - 799, kas pārsniedz Programmā un rādītāju pasē noteikto mērķa vērtību, lūdzam informēt Finanšu ministriju par nepieciešamību precizēt attiecīgos rādītājus Programmā un rādītāju pasē, jo tie ir uzskatāmi par būtisku rādītāja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atspoguļoto ietekmi uz valsts budžetu, šobrīd 6.ailē norādītos budžeta izdevumus pārceļot uz 7.aili, attiecīgi precizējot projekta finansiālo ietekmi 2028.gadā. Vienlaikus precizēto finansiālo ietekmi lūdzam atspoguļot arī 5.1.apakšpunktā, savukārt punktā “Cita informācija” norādīt, ka pasākuma īstenošanai nepieciešamo finansējumu Ekonomikas ministrija pieprasīs no 74.resora "Gadskārtējā valsts budžeta izpildes procesā pārdalāmais finansējums” 80.00.00 programmas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vēršam uzmanību, ka gadījumā, ja likumā “Par valsts budžetu 2026. gadam un budžeta ietvaru 2026., 2027. un 2028. gadam” Ekonomikas ministrijas budžetā 2026., 2027. un 2028.gadam ir ieplānots finansējums 1.2.3.1. pasākuma "Atbalsts MVU inovatīvas uzņēmējdarbības attīstībai" īstenošanai, tad tas ir jāatspoguļo sadaļas tabulas ailēs “saskaņā ar valsts budžetu kārtējam gadam” un “saskaņā ar vidēja termiņa budžeta ietvaru”, skaidrojošo informāciju iekļaujot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amatieru sports – darbības, kas nav kvalificējamas kā profesionālais sports saskaņā ar regulas Nr. 651/2014 2. panta 143.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2.10.apakšpunktu ņemot vērā, ka tiek svītrots noteikumu 45.14.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Vecvanaga-Borovska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ietvaros sasniedzami šādi iznākuma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pasākuma ietvaros sasniedzamos iznākuma rādītājus, ņemot vērā, ka tiek piešķirts elastības finansējums un anotācijā norādīto par sasniegtajiem iznākuma rādītāju apjomiem.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Vecvanaga-Borovska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45.8. telemārketinga pakalpojumi ārvalstu sadarbības partneru meklēšanai (maksa par telemārketinga pakalpojumiem – zvanu veikšanu un kampaņveidīgas informācijas sūtīšanu, lai ieinteresētu un piesaistītu pakalpojumam vai produktam jaunus klientus un sadarbības partnerus, kā arī lai papildinātu klientu un sadarbības partneru datubāzes);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gala labuma guvēju atbalstāmo darbību telemārketinga pakalpojumi svītrošanu no noteikumiem, vai papildinot noteikumu apakšpunktu ar nosacījumiem par sasniegto rezultātu (piemēram, nosakot sasniegto numuru īpatsvaru, sarunas ilguma garumu, kvalitatīva zvana parametrus u.c.). Aģentūra, vērtējot iesniegtos gala labuma guvēju rezultātu pamatojošos dokumentus, ir secinājusi, ka minētā darbība nesasniedz paredzēto atdevi un nesniedz būtisku ieguldījumu gala labuma guvēju mērķu sasniegšanā. Daudzos izvērtētajos rezultātu pamatojošajos dokumentos konstatēta zema pozitīva atgriezeniskā saite, proti, nepietiekama klientu atsaucība vai apliecinājums par gala labuma produkta vai pakalpojuma izvēli, ļoti īss zvana garums, bieži ne ilgāks kā viena minūte.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Vecvanaga-Borovska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Šo noteikumu </w:t>
            </w:r>
            <w:r w:rsidR="00000000" w:rsidRPr="00000000" w:rsidDel="00000000">
              <w:rPr>
                <w:rtl w:val="0"/>
              </w:rPr>
              <w:t xml:space="preserve">45.</w:t>
            </w:r>
            <w:r w:rsidR="00000000" w:rsidRPr="00000000" w:rsidDel="00000000">
              <w:rPr>
                <w:rtl w:val="0"/>
              </w:rPr>
              <w:t xml:space="preserve"> punktā minēto atbalstāmo darbību ietvaros komersantam radušās izmaksas ir attiecināmas atbilstoši atbildīgās iestādes apstiprinātajai vienkāršoto izmaksu metodikai, kas saskaņota ar vadošo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50.punkta redakciju, lai nerastos neskaidrības, ņemot vērā, ka noteikumu 45.11. apakšpunktā minētās darbības nav iekļautas vienkāršoto izmaksu metodikā un ir kā tiešās 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45. punktā minēto atbalstāmo darbību ietvaros komersantam radušās izmaksas ir attiecināmas atbilstoši atbildīgās iestādes apstiprinātajai vienkāršoto izmaksu metodikai, kas saskaņota ar vadošo iestādi, izņemot šo noteikumu 45.11. apakšpunktā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Vecvanaga-Borovska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26-TA-204</w:t>
    </w:r>
    <w:r>
      <w:br/>
    </w:r>
    <w:r w:rsidR="00000000" w:rsidRPr="00000000" w:rsidDel="00000000">
      <w:rPr>
        <w:rtl w:val="0"/>
      </w:rPr>
      <w:t xml:space="preserve">Izdrukāts 13.05.2026. 13.34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26-TA-204</w:t>
    </w:r>
    <w:r>
      <w:br/>
    </w:r>
    <w:r w:rsidR="00000000" w:rsidRPr="00000000" w:rsidDel="00000000">
      <w:rPr>
        <w:rtl w:val="0"/>
      </w:rPr>
      <w:t xml:space="preserve">Izdrukāts 13.05.2026. 13.34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Atzinumi_26-TA-204.docx</dc:title>
</cp:coreProperties>
</file>

<file path=docProps/custom.xml><?xml version="1.0" encoding="utf-8"?>
<Properties xmlns="http://schemas.openxmlformats.org/officeDocument/2006/custom-properties" xmlns:vt="http://schemas.openxmlformats.org/officeDocument/2006/docPropsVTypes"/>
</file>