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ir izvērtējusi Informatīvo ziņojumu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2.3.1. apakšnodaļā minēts, ka vēja parku teritorijas ar izveidotu infrastruktūru izsoles / konkursa kārtībā plānots iznomāt komersantam iekārtu uzstādīšanai un elektroenerģijas ražošanai. Ministrija norāda, ka vēja parku teritorijas  plānots tikai izsolīt kā tas norādīts Informatīvā ziņojuma 3.nodaļā, nevis izmantot konkursu. Bez tam vēja parka teritorijas ar izveidotu infrastruktūru izsole pašlaik ir paredzēta tikai Igaunijas un Latvijas pārrobežu atkrastes vēja enerģijas projektam “ELWIND”. Pārējās vēja parku teritorijas plānots izsolīt arī bez izveidotas  elektroenerģijas pārvades infrastruktūras. Ņemot vērā minēto nepieciešamas attiecīgi precizēt Informatīvā ziņojuma 2.3.1. apakšnodaļā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2.3.2. apakšnodaļas sadaļā “Elektropārvades tīklu attīstība” ir ietverta informācija par elektroenerģijas pārvades sistēmas attīstības plānu laika periodam no 2022. gada līdz 2031. gadam. Ministrija norāda, ka atbilstoši Elektroenerģijas tirgus likuma 15.1 panta pirmajai daļai Sabiedrisko pakalpojumu regulēšanas komisija (turpmāk – Regulators) katru gadu apstiprina pārvades sistēmas operatora izstrādāto pārvades sistēmas attīstības 10 gadu plānu un uzrauga tā izpildi. Atbilstoši Elektroenerģijas tirgus likumā noteiktajam Regulators 2023. gada 19. oktobrī ar lēmumu Nr. 115  ir apstiprinājis Elektroenerģijas pārvades sistēmas attīstības plānu no 2024. līdz 2033. gadam. Līdz ar to Informatīvā ziņojuma 2.3.2. apakšnodaļas sadaļa “Elektropārvades tīklu attīstība” būtu precizējama, ņemto vērā Elektroenerģijas pārvades sistēmas attīstības plānā no 2024. līdz 2033. gadam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3.1. attēla nosaukums ir “Līdzšinējā atkrastes vēja parku un akvakultūru laukumu licencēšanas shēma”, bet attēlā ietverts nosaukums “Esošā licencēšanas shēma vēja parkiem*” Ministrija lūdz precizēt 3.1. attēlu, ņemot vērā tā nosaukumu, kā arī Informatīvā ziņojuma 3. nodaļas tekstu, kurā lietota atsauce uz minēto attēlu.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pilnībā piekrīt informatīvajā ziņojuma 2.1. apakšnodaļā secinātajam, ka nepieciešams pārskatīt Jūras plānojumā norādīto prioritāšu zonējumu, kā arī nepieciešams definēt skaidras norādes situācijās, kad prioritārās zonas pārklājas vai teritorijās konstatēti nozīmīgi biotopi, iekļaujot informāciju par iespējamiem riskiem, ar kuriem jārēķinās uzsākot kādas darbības, un kompensējošiem pasākumiem, ja tādi iespējami. Tādēļ Ministrija atbalsta arī 5.2. apakšnodaļā “Priekšlikumi Jūras plānojuma aktualizēšanai” ietvertos  attiecīgos priekšlikumus, jo īpaši par nepieciešamību definēt skaidras prioritātes vai to secību katrā no jūras izmantošanas zonām, nodrošinot, ka zonējumā nepārklājas teritorijas, kas norādītas kā vienādas nozīmes prioritātes (piemēram, šobrīd vēja parku izpētes un bioloģiskās daudzveidības izpētes zonas).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Ministrijas ieskatā, tā kā atkrastes vēja parku attīstībai ir nepieciešamas lielas investīcijas, lai projektu attīstītāji varētu pieņemt investīciju lēmumu, ir nepieciešams pēc iespējas mazināt ar tā pieņemšanu saistīto nenoteiktību. Prioritāro zonas pārklāšanās, kuru rezultātā vēja parku izpētes zonu novietojums var neprognozēti manīties,  ir viens no būtiskie nenoteiktības veidiem, kas var ietekmēt investoru lēmumu par investīcijām atkrastes vēja parku attīstībā. Ņemot vērā minēto un nepieciešamību stiprināt Latvijas enerģētisko neatkarību, Ministrija uzskata, ka Jūras plānojuma Latvijas Republikas iekšējiem jūras ūdeņiem, teritoriālajai jūrai un ekskluzīvās ekonomiskās zonas ūdeņiem līdz 2030. gadam aktualizēšana būtu uzsākam jau 2024. gadā, nevis līdz  2025. gada 31. oktobrim, kā tas paredzēts Informatīvā ziņojuma 5.2. apakšnodaļā, kā arī protokollēmuma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19.12.2023.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19.12.2023.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Atzinumi_23-TA-2929.docx</dc:title>
</cp:coreProperties>
</file>

<file path=docProps/custom.xml><?xml version="1.0" encoding="utf-8"?>
<Properties xmlns="http://schemas.openxmlformats.org/officeDocument/2006/custom-properties" xmlns:vt="http://schemas.openxmlformats.org/officeDocument/2006/docPropsVTypes"/>
</file>