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ņemot vērā, ka tiesību akta projekts "Grozījumi Ministru kabineta 2023. gada 5. septembra noteikumos Nr. 510 "Eiropas Savienības kohēzijas politikas programmas 2021.–2027. gadam finanšu instrumentu kopīgie īstenošanas noteikumi"" (25-TA-489) jau ir pieņemts 2025. gada 12. 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anotāciju, ņemot vērā, ka sākotnēji plānotā Ministru kabineta 2017. gada 5. septembra noteikumu Nr. 537 "Noteikumi par portfeļgarantijām sīko (mikro), mazo un vidējo saimnieciskās darbības veicēju – juridisko personu – kreditēšanas veicināšanai" (turpmāk - noteikumi Nr. 537) VII nodaļa "Noslēguma jautājumi" svītrota, attiecīgi svītrojams arī anotācijas 1.3. sadaļas apakšsadaļas "Risinājuma apraksts" 8. punkts vai tas atbilstoši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2.ailē norādot saskaņā ar valsts budžetu kārtējam gadam plānoto finansējumu un 3.ailē finansējuma izmaiņas, ievērojot Eiropas Reģionālās attīstības fonda finansējuma un valsts budžeta līdzfinansējuma proporciju. Vienlaikus sadaļas 6.punktā lūdzam sniegt informāciju, kas pamato finansējuma samazinājumu 1.2.3.4. pasākuma "Garantijas, portfeļgarantijas pilna cikla uzņēmējdarbībai" ietvaros un punktā “Cita informācija” norādīt kādam pasākumam plānots novirzīt attiecīgo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vai Komisijas Regula 2013.gada 18.decembra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vai kā garantiju, kas šo noteikumu ietvaros tiek piešķirts vienīgi militārajiem investīciju projektiem, kas saņēmuši Aizsardzības ministrijas atzinumu,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iekļautās normas netiek dublētas ar noteikumu Nr. 537 plānoto 8.</w:t>
            </w:r>
            <w:r w:rsidR="00000000" w:rsidRPr="00000000" w:rsidDel="00000000">
              <w:rPr>
                <w:vertAlign w:val="superscript"/>
                <w:rtl w:val="0"/>
              </w:rPr>
              <w:t xml:space="preserve">1 </w:t>
            </w:r>
            <w:r w:rsidR="00000000" w:rsidRPr="00000000" w:rsidDel="00000000">
              <w:rPr>
                <w:rtl w:val="0"/>
              </w:rPr>
              <w:t xml:space="preserve">punktu, lūdzam noteikumu Nr. 537 8. punkta plānotajā redakcijā svītrot vārdus: ",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Nr. 537 plānotajā 8. punktā ir noteikts, ka garantijas var piešķirt “vienīgi militāriem projektiem drošības un  aizsardzības jomā”, un noteikumu Nr. 537 plānotajā 8.</w:t>
            </w:r>
            <w:r w:rsidR="00000000" w:rsidRPr="00000000" w:rsidDel="00000000">
              <w:rPr>
                <w:vertAlign w:val="superscript"/>
                <w:rtl w:val="0"/>
              </w:rPr>
              <w:t xml:space="preserve">3</w:t>
            </w:r>
            <w:r w:rsidR="00000000" w:rsidRPr="00000000" w:rsidDel="00000000">
              <w:rPr>
                <w:rtl w:val="0"/>
              </w:rPr>
              <w:t xml:space="preserve"> punktā noteikts, ka Aizsardzības ministrija sniedz atzinumu par “militārā projekta atbilstību drošības interesēm”, savukārt, noteikumu Nr. 537 plānotajā 10.10 apakšpunktā ir noteikts, ka atzinums tiek sniegts par projekta atbilstību “būtiskām drošības interesēm”. Lūdzam noteikumu projektā izmantot vienotu terminoloģiju attiecībā uz militārās jomas projektu apzīmējumu tā, lai tostarp būtu skaidrs, ka garantijas sniedz "vienīgi militāriem projektiem drošības un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Saimnieciskās darbības veicējs, iesniedzot projekta pieteikumu sabiedrībā "Altum" atbalsta saņemšanai militāriem projektiem, iesniedz arī Aizsardzības ministrijas atzinumu par militārā projekta atbilstību drošības interesēm. Pēc atzinuma saņemšanas par militārā projekta atbilstību drošības interesēm, kas saistītas ar ieroču, munīcijas un militārā aprīkojuma ražošanu, saimnieciskās darbības veicējs to iesniedz sabiedrībā "Altum", kura garantijas pieteikumu vērtē kopā ar saņemto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izvērtēt, vai portfeļgarantiju programmas ietvaros ir nepieciešams veidot papildu virzienu par atbalstu ārpus valsts atbalsta regulējuma (skar.punktus 8</w:t>
            </w:r>
            <w:r w:rsidR="00000000" w:rsidRPr="00000000" w:rsidDel="00000000">
              <w:rPr>
                <w:vertAlign w:val="superscript"/>
                <w:rtl w:val="0"/>
              </w:rPr>
              <w:t xml:space="preserve">1 </w:t>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militāriem projektiem, iesniedzot  Aizsardzības ministrijas atzinumu par militārā projekta atbilstību drošības interesēm.Skaidrojam, ka aizsardzības nozares saimnieciskās darbības veicēji var saņemt atbalstu vispārējā kārtībā (de minimis), portfeļgarantiju programmā ir mazākas garantiju summas, kas varētu būt ne tik piemērotas aizsardzības projektiem, kā arī pastāv iespēja pieteikties individuālajai garantijai, kurā šobrīd tieši tiek veidots atbalsta virziens par atbalstu ārpus valsts atbalsta regulējuma (t.i., nav nepieciešams ievērot de minimis vai GBER) militāriem projektiem, iesniedzot  Aizsardzības ministrijas atzinumu par militārā projekta atbilstību drošības interesēm. Līdz ar to piedāvātā risinājuma pievienotā vērtība pirmšķietami ir nebūtiska. Gadījumā, ja Ekonomikas ministrija tomēr uzskata par nepieciešamu šo virzienu paredzēt arī portfeļgarantijās, ir jāveic labojumi iepriekš minētajos noteikumu punktos, jo portfeļgarantiju programmā finansētājs pārliecinās par darījuma atbilstību iekļaušanai portfeļgarantiju portfelī, līdz ar to sadarbība ar Aizsardzības ministriju būtu jāveido ar visiem Finansētājiem. Portfeļgarantiju programmā saimnieciskās darbības veicēji pieteikumus Altum nesniedz.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Papildus šo noteikumu </w:t>
            </w:r>
            <w:r w:rsidR="00000000" w:rsidRPr="00000000" w:rsidDel="00000000">
              <w:rPr>
                <w:rtl w:val="0"/>
              </w:rPr>
              <w:t xml:space="preserve">13.</w:t>
            </w:r>
            <w:r w:rsidR="00000000" w:rsidRPr="00000000" w:rsidDel="00000000">
              <w:rPr>
                <w:rtl w:val="0"/>
              </w:rPr>
              <w:t xml:space="preserve"> punkta</w:t>
            </w:r>
            <w:r w:rsidR="00000000" w:rsidRPr="00000000" w:rsidDel="00000000">
              <w:rPr>
                <w:rtl w:val="0"/>
              </w:rPr>
              <w:t xml:space="preserve"> nosacījumiem garantiju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Nr. 537 13.1 punkta redakciju pēc plānotajām izmaiņām šī punkta ievaddaļā, t.i., atsauces uz 1.2.3.4.pasākumu svītrošanas, vai šajā punktā noteiktie nosacījumi tiks attiecināti uz visiem portfeļgarantiju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 darbībām, kuras uzskatāmas par faktiski pabeigtām vai pilnībā īstenotām, pirms ir iesniegts pieteikums atbalsta programmas finansējuma saņemšanai, ievērojot regulas Nr. </w:t>
            </w:r>
            <w:r w:rsidR="00000000" w:rsidRPr="00000000" w:rsidDel="00000000">
              <w:rPr>
                <w:rtl w:val="0"/>
              </w:rPr>
              <w:t xml:space="preserve">2021/1060</w:t>
            </w:r>
            <w:r w:rsidR="00000000" w:rsidRPr="00000000" w:rsidDel="00000000">
              <w:rPr>
                <w:rtl w:val="0"/>
              </w:rPr>
              <w:t xml:space="preserve"> 63. panta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noteikumu Nr. 537 šobrīd spēkā esošo 13.</w:t>
            </w:r>
            <w:r w:rsidR="00000000" w:rsidRPr="00000000" w:rsidDel="00000000">
              <w:rPr>
                <w:vertAlign w:val="superscript"/>
                <w:rtl w:val="0"/>
              </w:rPr>
              <w:t xml:space="preserve">1</w:t>
            </w:r>
            <w:r w:rsidR="00000000" w:rsidRPr="00000000" w:rsidDel="00000000">
              <w:rPr>
                <w:rtl w:val="0"/>
              </w:rPr>
              <w:t xml:space="preserve">4. apakšpunktu, ņemot vērā,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58. panta "Finanšu instrumenti" 2. punkta otrā daļa paredz, ka "Šādu atbalstu sniedz tikai par tiem investīciju elementiem, kas </w:t>
            </w:r>
            <w:r w:rsidR="00000000" w:rsidRPr="00000000" w:rsidDel="00000000">
              <w:rPr>
                <w:u w:val="single"/>
                <w:rtl w:val="0"/>
              </w:rPr>
              <w:t xml:space="preserve">investīciju lēmuma pieņemšanas dienā</w:t>
            </w:r>
            <w:r w:rsidR="00000000" w:rsidRPr="00000000" w:rsidDel="00000000">
              <w:rPr>
                <w:rtl w:val="0"/>
              </w:rPr>
              <w:t xml:space="preserve"> nav fiziski pabeigti vai pilnībā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būtu veicami atbilstoši precizējumi arī citos Ekonomikas ministrijas kompetencē esošos Ministru kabineta noteikumos, kas regulē finanšu instrumentu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18.09.2025.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18.09.2025.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