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Otrās kārtas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Trešās kārtas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“ja šo noteikumu 37.punktā minētais projekta iesniedzējs ir augstskolas, projekta iesniedzējs projekta īstenošanai nepieciešamo nacionālo līdzfinansējumu nodrošina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Otrajā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riska iestāšanos un pasākuma otrās kārtas ietvaros plānotā atbalsta pārklāšanos ar citiem valsts un ārvalstu finanšu atbalsta instrumentiem, atbilstoši punktā 55. “Finansējuma saņēmējs un sadarbības partneris nodrošina dubultā finansējuma riska neiestāšanos un pasākuma otrās kārtas ietvaros plānotā atbalsta nepārklāšanos ar citiem valsts un ārvalstu finanšu atbalsta instrumentiem” noteiktajam, secinām, ka   Rīgas Tehniskās universitātes  Latvijas Atveseļošanas un noturības mehānisma (turpmāk – ANM) 5.2.1.1.i.0/A/2/24/I/CFLA/003 projekta “Konsolidācijas un pārvaldības izmaiņu ieviešana Rīgas Tehniskajā universitātē, Liepājas Universitātē, Rēzeknes Tehnoloģiju akadēmijā un Latvijas Jūras akadēmijā un Liepājas Jūrniecības koledžā virzībai uz izcilību augstākajā izglītībā, zinātnē un inovācijās” ietvaros ir plānota studiju vadības sistēmas iegāde/ izveide, līdz ar to pastāv augsta dubultā finansējuma riska iespējamība, ja finansējuma saņēmējs  ir  biedrība "Augstākās izglītības un zinātnes informācijas tehnoloģijas koplietošanas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Otrajā kārtā projekta iesniedzējs ir augstskolas (Rīgas Tehniskā universitāte, Rīgas Stradiņa universitāte, Latvijas Universitāte, Latvijas Biozinātņu un tehnoloģiju universitāte, Daugavpils Universitāte),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3 525 815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37. punkta priekšlikumam.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Otrajai kārtai plānotais un pieejamais kopējais attiecināmais finansējums ir 23 438 762 euro, tai skaitā ESF Plus finansējums – 19 922 947 euro un valsts budžeta līdzfinansējums – 3 525 815 euro. Finansējums tiek sadalīts starp piecām augstskolām kā finansējuma saņēmējiem proporcionāli vienādās 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projektu īsteno sadarbībā ar zinātnes universitātēm: Latvijas Universitāti, Rīgas Tehnisko universitāti, Rīgas Stradiņa universitāti un Latvijas Biozinātņu un tehnoloģiju universitāti.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projektu īsteno sadarbībā ar biedrību "Augstākās izglītības un zinātnes informācijas tehnoloģijas koplietošanas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vienotas studiju vadības sistēmas ieviešana nacionālajā un institucionālajā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augstskolai ir unikāli biznesa procesi un atšķirīgas IT sistēmas. Vienotas studiju vadības sistēmas ieviešana institucionālā līmenī nav izvērtēta, ņemot vērā nepieciešamību salāgot augstskolu procesus un IT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vienotus standartus datu apmaiņai, jāpilnveido nacionāla līmeņa risinājumi, piemēram, VIIS, lai nodrošinātu datu integrāciju ar augstskolu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Vienotas studiju vadības sistēmas ieviešana nacionālajā līmenī un integrācijas servisu izstrāde ar institucionālo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vienota studiju un mācību kursu reģistra izveide un attīstība efektīvākai un vienotai augstskolu mācību pakalpojumu (kursu) pārvaldībai, mācību pakalpojumu dažādošanai un studiju procesa elastības uzlabošanai, tai skaitā mūžizglītības piedāvājuma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Kursu reģistrs ir viena no studentu informācijas kompleksā risinājuma komponentēm, kuras mērķis ir nodrošināt "kursu satura informācijas" pārnesi starp institūcijām un valstīm. No Eiropas viedokļa tā ir daļa no studentu iespēju dimensijas un ilgākā termiņā detalizēts informācijas avots par studenta/apmācāmā apgūtajām prasmēm. Praksē tas ir nacionālais pakalpojums, kas nodrošina nepieciešamās vārtejas un atvieglo prasības institucionālajām sistēmām Eiropas prasību izpildē. Priekšlikums būtu šāda paša līmeņa detalizāciju izmantot arī pārējos punktos (46.3.1.-46.3.6.) vai arī to samazināt.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46.4.1. integrētās augstskolu digitālo resursu un bibliotēku vadības sistēmas ieviešana dažādu informācijas resursu efektīvai izmantošanai un pārvaldībai;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46.4.1. punktu ar "un lietotāju pieredzes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46.4.1. integrētās augstskolu digitālo resursu un bibliotēku vadības sistēmas ieviešana dažādu informācijas resursu efektīvai izmantošanai un pārvaldībai un lietotāju pieredzes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Sadarbības partnerim ir attiecināmas šo noteikumu </w:t>
            </w:r>
            <w:r w:rsidR="00000000" w:rsidRPr="00000000" w:rsidDel="00000000">
              <w:rPr>
                <w:rtl w:val="0"/>
              </w:rPr>
              <w:t xml:space="preserve">48.1.2.</w:t>
            </w:r>
            <w:r w:rsidR="00000000" w:rsidRPr="00000000" w:rsidDel="00000000">
              <w:rPr>
                <w:rtl w:val="0"/>
              </w:rPr>
              <w:t xml:space="preserve">, </w:t>
            </w:r>
            <w:r w:rsidR="00000000" w:rsidRPr="00000000" w:rsidDel="00000000">
              <w:rPr>
                <w:rtl w:val="0"/>
              </w:rPr>
              <w:t xml:space="preserve">48.1.9.</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48.1.10. </w:t>
            </w:r>
            <w:r w:rsidR="00000000" w:rsidRPr="00000000" w:rsidDel="00000000">
              <w:rPr>
                <w:rtl w:val="0"/>
              </w:rPr>
              <w:t xml:space="preserve">apakšpunk</w:t>
            </w:r>
            <w:r w:rsidR="00000000" w:rsidRPr="00000000" w:rsidDel="00000000">
              <w:rPr>
                <w:rtl w:val="0"/>
              </w:rPr>
              <w:t xml:space="preserve">tā minētās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Sadarbības partnerim ir attiecināmas šo noteikumu 48.1.1., 48.1.2., 48.1.3., 48.1.4., 48.1.5., 48.1.6, 48.1.7., 48.1.8,  48.1.9.,  48.1.10. un 48.1.11. apakšpunktā minētās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saskaņā ar līgumu par projekta īstenošanu finansējuma saņēmējam ir paredzēts avanss, to var izmaksāt pa daļām. Maksimālais avansa apjoms nepārsniedz 30 procentus no projektam piešķirtā ESF Plus finansējuma un valsts budžeta līdzfinansējuma kopsummas. Avansa un starpposma maksājumu kopsumma var būt 95 procenti no projektam piešķirtā ESF Plus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saskaņā ar līgumu par projekta īstenošanu finansējuma saņēmējam, kuram ir no valsts budžeta daļēji finansētas atvasinātas publiskas personas statuss, ir paredzēts avanss, to var izmaksāt pa daļām. Maksimālais avansa apjoms nepārsniedz 30 procentus no projektam piešķirtā ESF Plus finansējuma un valsts budžeta līdzfinansējuma kopsummas. Avansa un starpposma maksājumu kopsumma var būt 95 procenti no projektam piešķirtā ESF Plus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12.08.2024. 19.29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12.08.2024. 19.29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