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 No jauna uzstādītie individuālie skaitītāji, kas mēra mājsaimniecības karstā ūdens patēriņu katrā ēkas vienībā,  ir attālināti nolasāmi.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aicinām izvērtēt, vai projekta 8. punktā ietvertajā noteikumu 15. punktā nav paredzēta stingrāka prasība kā Eiropas Parlamenta un Padomes 2023. gada 13. septembra direktīvas (ES) 2023/1791 par energoefektivitāti un ar ko groza Regulu (ES) 2023/955 (pārstrādātā redakcija) (turpmāk – Direktīva 2023/1791) 16. panta 1. punktā un tam atbilstošajā Eiropas Parlamenta un Padomes 2012. gada 25. oktobra Direktīvas 2012/27/ES par energoefektivitāti, ar ko groza Direktīvas 2009/125/EK un 2010/30/ES un atceļ Direktīvas 2004/8/EK un 2006/32/EK (turpmāk - Direktīva 2012/27/ES) vienībā. Gadījumā, ja projekts paredz stingrākas prasības, aicinām sniegt atbilstošu pamatojumu anotācijas 5.4. apakšsadaļas 1. tabulā.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Luīze Cietvīra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19.12.2024.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19.12.2024.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