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36.6.</w:t>
            </w:r>
            <w:r w:rsidR="00000000" w:rsidRPr="00000000" w:rsidDel="00000000">
              <w:rPr>
                <w:vertAlign w:val="superscript"/>
                <w:rtl w:val="0"/>
              </w:rPr>
              <w:t xml:space="preserve">1</w:t>
            </w:r>
            <w:r w:rsidR="00000000" w:rsidRPr="00000000" w:rsidDel="00000000">
              <w:rPr>
                <w:rtl w:val="0"/>
              </w:rPr>
              <w:t xml:space="preserve"> nodrošina, ka ne vēlāk kā nākamās darbdienas laikā ģimenes ārsts vai viņa praksē nodarbināta ārstniecības persona sazinās ar bērna likumisko pārstāvi, lai atbilstoši šo noteikumu </w:t>
            </w:r>
            <w:r w:rsidR="00000000" w:rsidRPr="00000000" w:rsidDel="00000000">
              <w:rPr>
                <w:rtl w:val="0"/>
              </w:rPr>
              <w:t xml:space="preserve">90.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saņemtajai informācijai vienotos par turpmāko veselības aprūpi, ja ģimenes ārsts ir saņēmis informāciju par ģimenes ārsta pacientu sarakstā reģistrētā bērna veselības aprūpi valsts sabiedrības ar ierobežotu atbildību “Bērnu klīniskā universitātes slimnīca” uzņemšanas nodaļā, un šis bērns nav stacionēts;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 (LLĢĀA) iebilst šī punkta ieviešanai. Asociācija norāda, ka vecāku vai bērna likumisko pārstāvju pienākums ir nodrošināt bērna vecumam atbilstošu drošu vidi un pienācīgu aprūpi, tostarp, arī nodrošināt veselības aprūpi atbilstoši bērna vajadzībām. MK noteikumu anotācijā ir minēts, ka BKUS ieskatā  vecāki bieži vien bezatbildīgi izturas pret bērnu veselību, neievēro ārstu rekomendācijas, nenodrošina atbilstošu ārstēšanās procesu un atkārtoti vēršas BKUS veselības stāvokļa pasliktināšanās dēļ. Minēto apstākļu dēļ BKUS rosina novirzīt atbildību uz ģimenes ārstu praksēm- ja bērns vērsies slimnīcas Uzņemšanas nodaļā un netiek stacionēts, tad atbildība par turpmāko </w:t>
            </w:r>
            <w:r w:rsidR="00000000" w:rsidRPr="00000000" w:rsidDel="00000000">
              <w:rPr>
                <w:rtl w:val="0"/>
              </w:rPr>
              <w:t xml:space="preserve">bērna veselības aprūpes nodrošināšanu </w:t>
            </w:r>
            <w:r w:rsidR="00000000" w:rsidRPr="00000000" w:rsidDel="00000000">
              <w:rPr>
                <w:rtl w:val="0"/>
              </w:rPr>
              <w:t xml:space="preserve">tiek novirzīta uz ārstniecības personu primārajā veselības aprūpē, nevis bērna likumisko pārstāvi. Asociācija uzstāj, ka atbildību par veselības aprūpes pakalpojumu nodrošināšanu un rekomendāciju izpildi jāuzņemas vecākiem. LLĢĀA neiebilst, ka e- veselības sistēmā būtu pieejams izraksts no BKUS par sniegto veselības aprūpes pakalpojumu un bērna veselības stāvokli. Minētā informācija noderētu gan turpinot bērna aprūpi, gan nodrošinot attālinātas konsultācijas nepieciešamības gadījumā, taču ģimene ārsta prakse nevar uzņemties atbildību par vecāku iesaisti bērna aprūpes nodrošināšanā. Asociācija norāda, ka, ja tiek konstatēts risks nepietiekamai bēran aprūpei, ir jāinformē sociālais dienests vai valsts policija, lai izvērtētu bērna aprūpi atbilstoši un novērstu iespējamos veselības riskus. </w:t>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Ainis Dzalbs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w:t>
            </w:r>
            <w:r w:rsidR="00000000" w:rsidRPr="00000000" w:rsidDel="00000000">
              <w:rPr>
                <w:vertAlign w:val="superscript"/>
                <w:rtl w:val="0"/>
              </w:rPr>
              <w:t xml:space="preserve">1</w:t>
            </w:r>
            <w:r w:rsidR="00000000" w:rsidRPr="00000000" w:rsidDel="00000000">
              <w:rPr>
                <w:rtl w:val="0"/>
              </w:rPr>
              <w:t xml:space="preserve"> Dienests šo noteikumu </w:t>
            </w:r>
            <w:r w:rsidR="00000000" w:rsidRPr="00000000" w:rsidDel="00000000">
              <w:rPr>
                <w:rtl w:val="0"/>
              </w:rPr>
              <w:t xml:space="preserve">11. </w:t>
            </w:r>
            <w:r w:rsidR="00000000" w:rsidRPr="00000000" w:rsidDel="00000000">
              <w:rPr>
                <w:rtl w:val="0"/>
              </w:rPr>
              <w:t xml:space="preserve">pielikuma</w:t>
            </w:r>
            <w:r w:rsidR="00000000" w:rsidRPr="00000000" w:rsidDel="00000000">
              <w:rPr>
                <w:rtl w:val="0"/>
              </w:rPr>
              <w:t xml:space="preserve">  17. punktā minēto nosacījumu, kas nosaka, ka maksājums par laikus atklātu vēzi ģimenes ārstam izmaksājams gadījumā, ja ģimenes ārsta pacientu sarakstā reģistrētā persona pēdējā gada laikā pirms diagnozes noteikšanas ir apmeklējusi ģimenes ārstu, piemēro ar 2025.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LLĢĀA iebilst šīs normas ieviešanai. Pirmsšķietami varētu domāt, ka minētais kritērijs varētu norādīt uz ģimenes ārsta iesaisti vai nepietiekamu līdzdarbību onkoloģiskās slimības agrīnā diagnostikā. Asociācija, norāda, ka ģimenes ārstu prakses aktīvi iesaistās onkoloģisko saslimšanu agrīnā diagnostikā, piemēram, uzaicinot pacientus veikt skrīninga izmeklējumus, kas būtiski palielina atsaucību un izmeklējumu apmeklētību. Par minētiem uzaicinājumiem, skrīniga vēstuļu dublikātu izgatavošanu, pacientu motivāciju un izmeklējumu koordinēšanu netiek veidoti  taloni, kas liecinātu, ka pacients vērsies pēc paklapojuma praksē. Tāpat skrīniga izmeklējumi nav saistīti ar ikgadēju prakses apmeklēšanu, to intervāli retāki. Tātad šobrīd nevar apgalvot, ka, ja nav piefiksēts talons par prakses apmeklējumu, tad ģimenes ārsta prakse nav iesiastījusies vēža agrīnas diagnostikas darbā. Ņemot vērā iepriekšējo, punkts svītrojams.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Ainis Dzalbs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Aprūpes epizodes un to tarifi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 iebilst pret 5.28 punktā norādīto epizodes apmaksas tarifu ģimenes ārstiem 8,71 Eur apmērā. Minētais tarifs neatbilst faktiskajām izmaksām, tas ir diskriminējošs salīdzinot ar citām specialitātēm. Pēc 5. punktā norādītajiem tarifierm izriet, ka ģimenes ārsta tarifs ir pielīdzināms ārsta palīga darba izmaksām. Vienlaicīgi, radniecīgām specialitātēm ir cits tarifs- piemēram, internistam tas ir 17,49 Eur un pediatram- 33,77 Eur!. Ņemot vērā ģimenes ārstu kompetenci un holistisku veselības aprūpes nodrošināšanu, asociācija uzstāj uz tarifa pielīdzināšanu kā iepriekš minētajās specialitātēs nodarbinātajiem.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Ainis Dzalbs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29.08.2024. 22.43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29.08.2024. 22.43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Atzinumi_24-TA-1255.docx</dc:title>
</cp:coreProperties>
</file>

<file path=docProps/custom.xml><?xml version="1.0" encoding="utf-8"?>
<Properties xmlns="http://schemas.openxmlformats.org/officeDocument/2006/custom-properties" xmlns:vt="http://schemas.openxmlformats.org/officeDocument/2006/docPropsVTypes"/>
</file>