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130 "Noteikumi par valodu lietošanu informācijā"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piemēram, Latvijas Investīciju un attīstības aģentūra un tās ārvalstu pārstāvniecības, strādājot pie plānošanas dokumentos izvirzīto sasniedzamo rādītāju izpildes (prioritāri, eksporta un piesaistīto investīciju apjomi) izstrādā materiālus un dažkārt arī interneta vietnes informācijas par Latviju izplatīšanai mērķa tirgos, kur netiek lietotas ES oficiālās valodas. Līdz ar to aicinām papildināt 2. punktu ar papildus apakšpunktu šādā redakcijā: "2.8. eksporta veicināšanu un ārvalstu investīciju piesaisti, valsts tēla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eksporta veicināšanu un ārvalstu investīciju piesaisti, valsts tēla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digitālās vārtejas regulas 13. panta 1. punkts un 2. panta a) apakšpunkts paredz, ka Eiropas Savienības dalībvalstīm ir pienākums nodrošināt, ka to izveidotās procedūras, ir tiešsaistē pieejamas un izpildāmas arī pārrobežu lietotājiem, turklāt norādījumiem par procedūru izpildi ir jābūt pieejamiem arī kādā no Savienības oficiālajām valodām, ko lielā mērā saprot pēc iespējas lielāks pārrobežu lietotāju skaits. Ņemot vērā minēto, aicinām papildināt noteikumu projekta 2</w:t>
            </w:r>
            <w:r w:rsidR="00000000" w:rsidRPr="00000000" w:rsidDel="00000000">
              <w:rPr>
                <w:vertAlign w:val="superscript"/>
                <w:rtl w:val="0"/>
              </w:rPr>
              <w:t xml:space="preserve">1</w:t>
            </w:r>
            <w:r w:rsidR="00000000" w:rsidRPr="00000000" w:rsidDel="00000000">
              <w:rPr>
                <w:rtl w:val="0"/>
              </w:rPr>
              <w:t xml:space="preserve">. punktu ar 2</w:t>
            </w:r>
            <w:r w:rsidR="00000000" w:rsidRPr="00000000" w:rsidDel="00000000">
              <w:rPr>
                <w:vertAlign w:val="superscript"/>
                <w:rtl w:val="0"/>
              </w:rPr>
              <w:t xml:space="preserve">1</w:t>
            </w:r>
            <w:r w:rsidR="00000000" w:rsidRPr="00000000" w:rsidDel="00000000">
              <w:rPr>
                <w:rtl w:val="0"/>
              </w:rPr>
              <w:t xml:space="preserve">3. apakšpunktu, paredzot, ka informāciju kādā no Eiropas Savienības svešvalodām var sniegt arī, ja tā ir saistīta ar valsts pārvaldes sniegtajiem publiskajiem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 tiek sniegta, lai pieprasītu valsts pārvaldes publiskos pakalpojumus (piemēram, iesniegumos un veidlapās).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 (Jolanta Reinsone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Tieslietu ministrijas priekšlikumu atbalstīt ES oficiālo valodu lietošanu publiskā informācijā, kas saistīta ar sabiedriskā transporta pakalpojuma sniegšanu, ieceļojot un izceļojot no Latvijas, vai nodrošinot nokļūšanu starptautiska mēroga transporta infrastruktūras objektā, vai no 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ES oficiālo valodu (piemēram, angļu valodas) lietošana ir ļoti būtiska arī tūrisma galamērķu (piemēram, lielo pilsētu, kā Jūrmala vai Jelgava u.c.) transporta mezglos (autoostās, dzelzceļa stacijās), lai nodrošinātu iespēju ārvalstu ceļotājam saņemt informāciju par sabiedriskā transporta kustības sarakstu un galamērķiem.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aicinām Tieslietu ministriju no MK noteikumu tvēruma neizslēgt citus būtiskus transporta mezglus, kas nodrošina starptautiskā tūrisma plūsmu iekšzemē, kultūrvēsturiskā mantojuma objektu un tūrisma objektu apmeklēšanas iespējošanai (piemēram, Bauskas autoosta ir būtisks transporta mezgls tuvumā esošās Rundāles pils apmeklējumam, kā arī ir būtisks Lietuva - Latvija transporta plūsmas mezgls).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apakšpunktu šādā redakcijā: "2.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vai tūrisma infrastruktūras objektā,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skaidrot anotācijā: "Ar noteikumu projektā iekļauto nosacījumu, ka līdztekus valsts valodai var lietot kādu no ES oficiālajām valodām, sniedzot publisku informāciju sabiedrībai pieejamās vietās, ja informācija saistīta ar sabiedriskā transporta pakalpojuma sniegšanu, ieceļojot un izceļojot no Latvijas, kā arī nodrošinot nokļūšanu starptautiska mēroga transporta infrastruktūras vai tūrisma infrastruktūras objektā, vai no tā" izprotams, ka ES oficiālā valoda lietojama arī reģionālos būtiskākajos transporta mezglos, iespējojot ārvalstu viesu nokļūšanu uz būtiskākajiem tūrisma objektiem. Tūrisma infrastruktūra saskaņā ar Tūrisma likuma 1.panta pirmās daļas 16.punktu ir tūrisma nozares un ar to saistīto citu nozaru (transporta, tirdzniecības, sakaru, kultūras, veselības aizsardzības u.tml.) pakalpojumu kopums, kas nodrošina tūrisma nozares darbību. Līdz ar to, grozījumi attiecināmi gan uz sabiedrisko transportu un transporta mezgliem, gan arī gadījumos, ja konkrētais tūrisma infrastruktūras objekts nav tieši saistīts ar pārrobežu tūrisma plūsmu, tomēr tas ir nozīmīgs tūrisma vai tūrisma tranzīta objekts, piemēram, Bauska, Valmiera, Jelgava u.c., tādējādi veicinot tūrisma plūsmas stiprināšanu un uzņēmējdarbības veicināšanu reģionos. Piemēram, Valmierā būtu pieļaujama angļu un igauņu valodas lietošana informācijā, ņemot vērā reģionam prioritāros tūrisma tirgus."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vai tūrisma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2018/1724, ar ko izveido vienotu digitālo vārteju, lai sniegtu piekļuvi informācijai, procedūrām un palīdzības un problēmu risināšanas pakalpojumiem, un ar ko groza Regulu (ES) Nr. 1024/2012 (turpmāk – Vienotās digitālās vārtejas regula) 11. panta 2. punkts paredz, ka Eiropas Savienības dalībvalstīm ir pienākums nodrošināt, ka paskaidrojumi, piemēram, piedāvātā pakalpojuma veids, mērķis un gaidāmais iznākums, termiņi u.tml., par palīdzības un problēmu risināšanas pakalpojumiem (vienotie kontaktpunkti), kuri uzskaitīti Vienotās digitālās vārtejas regulas III pielikumā, ir pieejami kādā no Savienības oficiālajām valodām, ko lielā mērā saprot pēc iespējas lielāks pārrobežu lietotāju skaits. Atbilstoši minētajam, aicinām precizēt noteikumu projekta 2</w:t>
            </w:r>
            <w:r w:rsidR="00000000" w:rsidRPr="00000000" w:rsidDel="00000000">
              <w:rPr>
                <w:vertAlign w:val="superscript"/>
                <w:rtl w:val="0"/>
              </w:rPr>
              <w:t xml:space="preserve">1</w:t>
            </w:r>
            <w:r w:rsidR="00000000" w:rsidRPr="00000000" w:rsidDel="00000000">
              <w:rPr>
                <w:rtl w:val="0"/>
              </w:rPr>
              <w:t xml:space="preserve">2. apakšpunktu paredzot, ka informāciju kādā no Eiropas Savienības svešvalodām var sniegt arī, ja tā ir saistīta ar palīdzības un problēmu risināšanas pakalpojumiem (vienotajiem kontaktpunktiem).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tiek sniegta vienotajos kontaktpunktos.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 (Jolanta Reinsone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25.07.2024.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25.07.2024.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Atzinumi_24-TA-347.docx</dc:title>
</cp:coreProperties>
</file>

<file path=docProps/custom.xml><?xml version="1.0" encoding="utf-8"?>
<Properties xmlns="http://schemas.openxmlformats.org/officeDocument/2006/custom-properties" xmlns:vt="http://schemas.openxmlformats.org/officeDocument/2006/docPropsVTypes"/>
</file>