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Kazu artrīta-encefalīta uzraudzības, kontroles un apkarošanas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(EK atzinums C(2026) 1623 06.03.2026. par TRIS paziņojumu Nr. 2025/0755/LV KAE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25-TA-1935 par EK atzinumu C(2026) 1623 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Kazu artrīta-encefalīta uzraudzības, kontroles un apkarošanas kārtība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5. sadaļā norādīto, ka "projekts uzskatāms par tehnisko noteikumu projektu", lūdzam papildināt projektu ar normu, kurā paredzēta informatīvā atsauce uz Eiropas Savienības direktīvām atbilstoši Ministru kabineta 2009. gada 3. februāra noteikumu Nr. 108 „Normatīvo aktu projektu sagatavošanas noteikumu” 169. punktam, kas noteic, ka informatīvo atsauci uz Eiropas Savienības tehnisko noteikumu direktīvām veido frāze „Tiesību normas saskaņotas ar Eiropas Komisiju un Eiropas Savienības dalībvalstīm atbilstoši Eiropas Parlamenta un Padomes 2015. gada 9. septembra Direktīvai (ES) 2015/1535, ar ko nosaka informācijas sniegšanas kārtību tehnisko noteikumu un Informācijas sabiedrības pakalpojumu noteikumu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 dalībvalsts ieved:</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17. un 18. punktā ietvertās atsauces uz konkrētām Eiropas Savienības regulu vienībām ir precīzas un pilnīgas, tostarp ņemot vērā arī tiesību akta lietā pievienoto Eiropas Komisijas 2026. gada 6. marta atzinumu par TRIS paziņojumu Nr. 2025/0755/LV (doc. C(2026) 1623 final) (turpmāk - Komisijas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minēto Komisijas atzinumu lūdzam papildināt anotāciju, sniedzot izvērstāku skaidrojumu par atzinumā minēto un to, vai un kā Komisijas iebildumi ir ņemti vērā projektā. Tāpat arī aicinām sniegt informāciju par turpmāk veicamo rīcību saistībā ar Komisijas atzinumu (sk. atzinumā norādīto: "</w:t>
            </w:r>
            <w:r w:rsidR="00000000" w:rsidRPr="00000000" w:rsidDel="00000000">
              <w:rPr>
                <w:i w:val="1"/>
                <w:rtl w:val="0"/>
              </w:rPr>
              <w:t xml:space="preserve">Ja Latvijas valdība nepildīs Direktīvā (ES) 2015/1535 paredzētos pienākumus vai ja attiecīgo tehnisko noteikumu projekta teksts tiks pieņemts, neņemot vērā iepriekš izklāstītos iebildumus, vai citā veidā pārkāps ES tiesību aktus, Komisija var sākt tiesvedību saskaņā ar Līguma par Eiropas Savienības darbību 258. pantu. Komisija vērš Latvijas valdības uzmanību arī uz to, ka saskaņā ar iepriekš minēto noteikumu dalībvalstij, kam adresēts sīki izstrādātais atzinums, ir pienākums informēt Komisiju par rīcību, kuru tā ierosina veikt saistībā ar sīki izstrādāto atzinumu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viennozīmīgi skaidrs, kas tabulā domāts ar norādi "Regulas 2016/429 127., 157., 158., 229. un 234. pants nedod rīcības brīvību dalībvalstij pārņemt vai ieviest dzīvnieku pārvietošanas prasības" (sk. arī informāciju par citās regulās paredzēto rīcības brīvību izmantošanu). Ja domāts norādīt uz Komisijas atzinumā paustajiem iebildumiem (sk., piemēram: "</w:t>
            </w:r>
            <w:r w:rsidR="00000000" w:rsidRPr="00000000" w:rsidDel="00000000">
              <w:rPr>
                <w:i w:val="1"/>
                <w:rtl w:val="0"/>
              </w:rPr>
              <w:t xml:space="preserve">Komisija norāda, ka Regula (ES) 2016/429, jo īpaši tās 234. panta 3. punkts, neļauj dalībvalstīm piemērot papildu vai stingrākas prasības attiecībā uz dzīvnieku ievešanu ES, jo dzīvnieku veselības prasības konkrētajām dzīvnieku sugām un kategorijām jau ir reglamentētas ar Deleģēto regulu (ES) 2020/692. Turklāt 269. pants arī neļauj dalībvalstīm piemērot papildu vai stingrākas prasības attiecībā uz dzīvnieku ievešanu ES.</w:t>
            </w:r>
            <w:r w:rsidR="00000000" w:rsidRPr="00000000" w:rsidDel="00000000">
              <w:rPr>
                <w:rtl w:val="0"/>
              </w:rPr>
              <w:t xml:space="preserve">"), tad aicinām redakcionāli precizēt un tā arī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25-TA-1935</w:t>
    </w:r>
    <w:r>
      <w:br/>
    </w:r>
    <w:r w:rsidR="00000000" w:rsidRPr="00000000" w:rsidDel="00000000">
      <w:rPr>
        <w:rtl w:val="0"/>
      </w:rPr>
      <w:t xml:space="preserve">Izdrukāts 14.04.2026.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25-TA-1935</w:t>
    </w:r>
    <w:r>
      <w:br/>
    </w:r>
    <w:r w:rsidR="00000000" w:rsidRPr="00000000" w:rsidDel="00000000">
      <w:rPr>
        <w:rtl w:val="0"/>
      </w:rPr>
      <w:t xml:space="preserve">Izdrukāts 14.04.2026.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Atzinumi_25-TA-1935.docx</dc:title>
</cp:coreProperties>
</file>

<file path=docProps/custom.xml><?xml version="1.0" encoding="utf-8"?>
<Properties xmlns="http://schemas.openxmlformats.org/officeDocument/2006/custom-properties" xmlns:vt="http://schemas.openxmlformats.org/officeDocument/2006/docPropsVTypes"/>
</file>