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vai pēc Eiropas Komisijas lēmuma par Atveseļošanas fonda plāna grozījumu priekšlikumiem līdz 2024. gada 30. jūnijam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punktā izteikto noteikumu 7.2. un 7.3. apakšpunktu, jo no piedāvātās redakcijas nav saprotams atskaites punktu sasniegšanas termiņš. Tai skaitā vēršam uzmanību, ka piedāvātajā redakcijā tiek noteikti divi alternatīvi termiņi, un nav saprotams, kurš no tiem ir noteicošais. Nepieciešamības gadījumā aicinām noteikt, ka attiecīgie atskaites punkti sasniedzami </w:t>
            </w:r>
            <w:r w:rsidR="00000000" w:rsidRPr="00000000" w:rsidDel="00000000">
              <w:rPr>
                <w:u w:val="single"/>
                <w:rtl w:val="0"/>
              </w:rPr>
              <w:t xml:space="preserve">Atveseļošanas fonda plānā noteiktajā termiņā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02.06.2023. 08.20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02.06.2023. 08.20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