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 rīcības plāna 1. pielikuma 4.3 punkta svītrot Viedās administrācijas un reģionālās attīstības ministriju (turpmāk - ministrija), kā atbildīgo iestādi par uzdevumu izpildi, jo paredzētie uzdevumi neattiecas uz Ministru kabineta 2024. gada 3. septembra noteikumos Nr. 586 “Viedās administrācijas un reģionālās attīstības ministrijas nolikums” noteikto ministrijas kompetenci. Papildus norādām, ka pašvaldību sniegto publisko pakalpojumu tiesisko regulējumu izstrādā par attiecīgo jomu atbildīgā ministrija vai pašvaldības atbilstoši savai iniciatīvai. Vēršam uzmanību, ka ministrija kā politikas veidotāja nav ieviesusi bāzes pakalpojumus, kā arī likumā noteiktajos gadījumos pašvaldības patstāvīgi regulē to ieviestos publiskos pakalpojumus, un ministrijai nav tiesiska pamata iejaukties pašvaldību kompetencē.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03.03.2026.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03.03.2026.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