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valodas politikas pamatnostādņu 2021.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Nekorekti ievadītas summas, kas attiecināmas uz Tieslietu ministrijas budžeta programmas "Valsts valodas centrs, 09.01.00 Valsts valodas aizsardzība", 1. tabulas trijās šūnās pie "Vidēja termiņa budžeta ietvara likumā plānotais finansējums" 2024., 2025. un 2026. gada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pasākums - 90 023;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pasākums - 18 331;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pasākums - 415 648;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pasākums - (tukšums);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pasākums - 19 888;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pasākums - 9944;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pasākums - 9944.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Summas, kas norādāmas 1. tabulas trijās šūnās pie "Vidēja termiņa budžeta ietvara likumā plānotais finansējums" 2024., 2025. un 2026. gada minētajiem pasākumiem, kas attiecināmi uz Tieslietu ministrijas budžeta programmu "Valsts valodas centrs, 09.01.00 Valsts valodas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pasākums - 18 746;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pasākums - (tukšums); atstājama tikai norāde uz 23. zemsvītras piezīmi;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pasākums - 402 073;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pasākums - 33 058;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pasākums - 6630;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pasākums - 6629;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pasākums - 6629.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01.02.2024.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01.02.2024.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Atzinumi_23-TA-1809.docx</dc:title>
</cp:coreProperties>
</file>

<file path=docProps/custom.xml><?xml version="1.0" encoding="utf-8"?>
<Properties xmlns="http://schemas.openxmlformats.org/officeDocument/2006/custom-properties" xmlns:vt="http://schemas.openxmlformats.org/officeDocument/2006/docPropsVTypes"/>
</file>