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grozījumi stāsies spēkā jau no 2026.gada 1.janvāra. Pašvaldība saskata risku, ka gadījumā, ja šādi apjomīgi grozījumi rūpnieciskās zvejas tiesību nomas kārtībā stāsies spēkā jau pēc mēneša, pašvaldība ierobežotu resursu apstākļos var pilnībā nenodrošināt jauno prasību pilnīgu izpildi. Lai pašvaldība pilnvērtīgi un vispusīgi iepazītos ar plānotajām izmaiņām un pilnvērtīgi pielāgotos jaunajām prasībām (zvejas efektivitātes izvērtējums, parauglīgums, pašvaldības lēmumi, konsultācijas ar nevalstiskajām organizācijām, grozījumi zvejas nomas tiesību līgumos, limita maksas samazinājumi (klātienes pārbaude) u.c. prasības), noteikt, ka Noteikumi stājas spēkā no 2027.gada 1.janvāra (nosakot viena gada pārejas periodu), nevis jau pēc mēneša.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25.11.2025.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25.11.2025.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