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teikts, ka mērķis ir efektīva slimnīcu tīkla pārvaldība (9.punkts) un pakalpojumi tiek nodrošināti jebkuru novadu iedzīvotājiem (17.punkts). It ipaši, ņemot vērā, ka stacionārā veselības aprūpe ir komercionāli nepievilcīga (ziņojuma 18.punkts) un atšķirīga veselības aprūpes pakalpojuma nodrošināšana nav pieļaujama (ziņojuma 19.punkts), nav skaidrs VM pamatojums, kāpēc valsts līdzdalība tiek plānota tikai reģionālajās slimnīcās un nav izvērtēta dalība zemāka līmeņa stacionāros.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pilnvērtīgus sadarbības reģionus un nodrošinātu pacientiem vienlīdzīgu stacionāro veselības pakalpojumu pieejamību, ir nepieciešama valsts līdzdalība visās stacionārās veselības aprūpes iestādēs un sadarbība jāveido nevis reģionālo slimnīcu teritorijās, bet gan jāveido lielāki kopēji veselības aprūpes reģioni - Kurzemes reģions (iekļaujot Liepājas, Ziemeļkurzemes un zemāka līmeņa slimnīcas), Rīgas un Zemgales reģions, Vidzemes reģions un Latgales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pārslēdzot domāšanu ārpus novadiem un reģionālām slimnīcām, ir iespējams veidot pilnvērtīgus slimnīcu tīklus, kuros būtu nodrošināti gandrīz visi pakalpojumu profili.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