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anotācijas 1.3. un 8.1.13. apakšpunktā nav ietverts skaidrojums par noteikumu projekta 11. punktu, kas paredz izteikt jaunā redakcijā noteikumu 66.</w:t>
            </w:r>
            <w:r w:rsidR="00000000" w:rsidRPr="00000000" w:rsidDel="00000000">
              <w:rPr>
                <w:vertAlign w:val="superscript"/>
                <w:rtl w:val="0"/>
              </w:rPr>
              <w:t xml:space="preserve">2</w:t>
            </w:r>
            <w:r w:rsidR="00000000" w:rsidRPr="00000000" w:rsidDel="00000000">
              <w:rPr>
                <w:rtl w:val="0"/>
              </w:rPr>
              <w:t xml:space="preserve">punktu. Līdz ar to nav saprotama šādas normas nepieciešamības pamatojums un ietekme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 ka Statistikas likuma 2. pantā ir noteikts, ka šā likuma mērķis ir nodrošināt oficiālo statistiku par sabiedrībā notiekošajām ekonomiskajām, demogrāfiskajām un sociālajām parādībām un procesiem, kā arī par vidi. Proti, šā likuma regulējums ir attiecināms uz statistikas, kas atbilst šajā likumā noteiktajiem mērķiem un kritērijiem un ir iekļauta oficiālās statistikas programmā, nodrošināšanu. Līdz ar to, vienlaikus aicinām izvērtēt 66.</w:t>
            </w:r>
            <w:r w:rsidR="00000000" w:rsidRPr="00000000" w:rsidDel="00000000">
              <w:rPr>
                <w:vertAlign w:val="superscript"/>
                <w:rtl w:val="0"/>
              </w:rPr>
              <w:t xml:space="preserve">2</w:t>
            </w:r>
            <w:r w:rsidR="00000000" w:rsidRPr="00000000" w:rsidDel="00000000">
              <w:rPr>
                <w:rtl w:val="0"/>
              </w:rPr>
              <w:t xml:space="preserve">punkta pēdējā teikuma pamatotību un to, vai piekļuves piešķiršanas datiem un pētniecībai sniegto datu aizsardzības prasības nebūtu nosakāmas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atbilstoši precizēt noteikumu projekta 11.punktu, kā arī papildināt anotācijas 1.3. un 8.1.13. apakšpunktu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03.10.2023.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03.10.2023.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