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anotācijas 3. sadaļas “Tiesību akta projekta ietekme uz valsts budžetu un pašvaldību budžetiem”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 likumprojektā paredzēto pasākumu īstenošanu nodrošinās tām esošā finansējuma ietvaros, savukārt ārstniecības iestādes likumprojektā paredzētos pasākumus īstenos gan tām esošā finansējuma ietvaros, gan izmantojot  Eiropas Savienības struktūrfondu un Kohēzijas fonda 2021.-2027. gada plānošanas perioda Eiropas Sociālo fondu Plus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17.07.2023.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17.07.2023.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