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pārskatīt Ministru kabineta 2024. gada 22. oktobra noteikumu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MK noteikumi Nr.663) projekta mērķi, precīzāk aprakstot grozījumu projektā paredzēto. Piemēram, nav skaidrs, kas ir domāts ar </w:t>
            </w:r>
            <w:r w:rsidR="00000000" w:rsidRPr="00000000" w:rsidDel="00000000">
              <w:rPr>
                <w:i w:val="1"/>
                <w:rtl w:val="0"/>
              </w:rPr>
              <w:t xml:space="preserve">precizēt atbalsta programmas nosacījumus atbilstoši spēkā esošajam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Nr.663 grozījumu projekta mērķis ir precizēt atbalsta programmas nosacījumus, atļaujot projekta iesniedzējam piesaistīt sadarbības partneri/-us, precizētu pieejamo finansējumu un sasniedzamos rādītājus, lai nodrošinātu pilnvērtīgu pasākuma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norādot, kādas izdevumu pozīcijas atbilst kādiem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informāciju” ar informāciju par MK noteikumu Nr. 663 grozījumu projektā paredzēto elastības finansējuma samazinājuma apmēru un iemeslu, ka arī norādīt, ka minētais samazinājums neietekmē projektu iesniegumos 1.2.1.1. pasākuma īstenošanai pieejamo finansējuma apmēru un noteikumu projektā paredzētās izmaiņas tiks nodrošinātas 1.2.1.1. pasākuma īstenošanai plānotā finansējuma ietvaros. Vienlaikus lūdzam 6.punktā svītrot pēdējo rindkopu, ņemot vērā, ka noteikumu projekts paredz tikai elastības finansējuma daļas samazināšanu, kā arī izvērtēt sniegto informāciju par provizorisko finansējuma sadalījumu pa gadiem, ņemot vērā, ka sadaļas tabulā ietekme uz valsts budžetu ir atspoguļota ar 2025.gadu.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 projekta iesniedzējs, kas ir komersants (tai skaitā juridiskas personas ārvalstu filiāle, zemnieku saimniecība, kooperatīvā sabiedrība), kas atbilst sīkā (mikro), mazā vai vidējā saimnieciskās darbības subjekta statusam saskaņā ar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 punktu, maza vidēja kapitalizācijas sabiedrība saskaņā ar Komisijas regulas Nr. 651/2014, 2. panta 103.e) punktu, vidēja kapitalizācijas sabiedrība saskaņā ar Eiropas Parlamenta un Padomes 2015. gada 25. jūnija Regulas (ES) Nr. 2015/1017 par Eiropas Stratēģisko investīciju fondu, Eiropas Investīciju konsultāciju centru un Eiropas Investīciju projektu portālu, ar ko groza Regulas (ES) Nr. 1291/2013 un (ES) Nr. 1316/2013 – Eiropas Stratēģisko investīciju fonds</w:t>
            </w:r>
            <w:r w:rsidR="00000000" w:rsidRPr="00000000" w:rsidDel="00000000">
              <w:rPr>
                <w:rtl w:val="0"/>
              </w:rPr>
              <w:t xml:space="preserve">​</w:t>
            </w:r>
            <w:r w:rsidR="00000000" w:rsidRPr="00000000" w:rsidDel="00000000">
              <w:rPr>
                <w:rtl w:val="0"/>
              </w:rPr>
              <w:t xml:space="preserve"> 2. panta 7. punktu, kā arī lielie saimnieciskās darbības veicēji saskaņā ar Komisijas regulas Nr. </w:t>
            </w:r>
            <w:r w:rsidR="00000000" w:rsidRPr="00000000" w:rsidDel="00000000">
              <w:rPr>
                <w:rtl w:val="0"/>
              </w:rPr>
              <w:t xml:space="preserve">651/2014</w:t>
            </w:r>
            <w:r w:rsidR="00000000" w:rsidRPr="00000000" w:rsidDel="00000000">
              <w:rPr>
                <w:rtl w:val="0"/>
              </w:rPr>
              <w:t xml:space="preserve"> 2. panta 24. punktu ar nosacījumu, ka pētniecības un inovāciju aktivitāšu īstenošanai tiek piesaistīti sīkie (mikro), mazie un vidējie komersanti, ar kuru sadarbības iestāde noslēgusi līgumu par projekta īstenošanu (turpmāk – līgums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Ekonomikas ministrijas (turpmāk - EM) uzmanību, ka arī uz vidējas kapitalizācijas sabiedrībām arī ir attiecināms nosacījums, ka pētniecības un inovāciju aktivitāšu īstenošanai tiek piesaistīti sīkie (mikro), mazie un vidējie komersanti, ar kuru sadarbības iestāde noslēgusi līgumu par projekta īstenošanu atbilstoši Eiropas Parlamenta un Padomes Regulas (ES) </w:t>
            </w:r>
            <w:r w:rsidR="00000000" w:rsidRPr="00000000" w:rsidDel="00000000">
              <w:rPr>
                <w:b w:val="1"/>
                <w:rtl w:val="0"/>
              </w:rPr>
              <w:t xml:space="preserve">2021/1058 </w:t>
            </w:r>
            <w:r w:rsidR="00000000" w:rsidRPr="00000000" w:rsidDel="00000000">
              <w:rPr>
                <w:rtl w:val="0"/>
              </w:rPr>
              <w:t xml:space="preserve">par Eiropas Reģionālās attīstības fondu un Kohēzijas fondu " 5.panta 2.punkta a) apakšpunktam un attiecīgi arī Eiropas Savienības kohēzijas politikas programmas 2021.-2027.gadam (turpmāk- KPP) 84.paragrāfam. Lūdzam pārskatīt šī punkta redakciju, lai šis aspekts būtu skaidri nolasāms un neradītu liekas interpretācijas iespējas (piemēram, sadalot teikumu divās daļās, jauns teikums sākas ar vārdu savienojumu 'vidējas kapitalizācijas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KPP 84.paragrāfs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Galvenās mērķa grupas.[..] Vidējās kapitalizācijas sabiedrības (mid-caps, ar darbinieku skaitu līdz 3000), pētniecības organizācijas </w:t>
            </w:r>
            <w:r w:rsidR="00000000" w:rsidRPr="00000000" w:rsidDel="00000000">
              <w:rPr>
                <w:u w:val="single"/>
                <w:rtl w:val="0"/>
              </w:rPr>
              <w:t xml:space="preserve">un</w:t>
            </w:r>
            <w:r w:rsidR="00000000" w:rsidRPr="00000000" w:rsidDel="00000000">
              <w:rPr>
                <w:rtl w:val="0"/>
              </w:rPr>
              <w:t xml:space="preserve"> lielie saimnieciskās darbības veicēji ar nosacījumu, ja tas ietver sadarbību minētajās aktivitātēs ar MVU P&amp;I aktivitātēs (t.sk. pašvaldību un valsts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29 365 499 </w:t>
            </w:r>
            <w:r w:rsidR="00000000" w:rsidRPr="00000000" w:rsidDel="00000000">
              <w:rPr>
                <w:i w:val="1"/>
                <w:rtl w:val="0"/>
              </w:rPr>
              <w:t xml:space="preserve">euro </w:t>
            </w:r>
            <w:r w:rsidR="00000000" w:rsidRPr="00000000" w:rsidDel="00000000">
              <w:rPr>
                <w:rtl w:val="0"/>
              </w:rPr>
              <w:t xml:space="preserve">(no tā elastības finansējums – 2 411 235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(no tā elastības finansējums – 2 049 550 </w:t>
            </w:r>
            <w:r w:rsidR="00000000" w:rsidRPr="00000000" w:rsidDel="00000000">
              <w:rPr>
                <w:i w:val="1"/>
                <w:rtl w:val="0"/>
              </w:rPr>
              <w:t xml:space="preserve">euro</w:t>
            </w:r>
            <w:r w:rsidR="00000000" w:rsidRPr="00000000" w:rsidDel="00000000">
              <w:rPr>
                <w:rtl w:val="0"/>
              </w:rPr>
              <w:t xml:space="preserve">) un valsts budžeta līdzfinansējums – 4 404 825 </w:t>
            </w:r>
            <w:r w:rsidR="00000000" w:rsidRPr="00000000" w:rsidDel="00000000">
              <w:rPr>
                <w:i w:val="1"/>
                <w:rtl w:val="0"/>
              </w:rPr>
              <w:t xml:space="preserve">euro </w:t>
            </w:r>
            <w:r w:rsidR="00000000" w:rsidRPr="00000000" w:rsidDel="00000000">
              <w:rPr>
                <w:rtl w:val="0"/>
              </w:rPr>
              <w:t xml:space="preserve">(no tā elastības finansējums – 361 685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MK noteikumu Nr.633 projekta 6.punktam pasākuma ietvaros plānotais valsts budžeta līdzfinansējums bez elastības finansējuma ir 4 043 140 euro, kas par vienu euro atšķiras no šobrīd MK noteikumu Nr.663 7.punktā noteiktā valsts budžeta līdzfinansējuma apmēra. Lūdzam izvērtēt un nepieciešamības gadījumā veikt precizējumus, vienlaikus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29 365 499 </w:t>
            </w:r>
            <w:r w:rsidR="00000000" w:rsidRPr="00000000" w:rsidDel="00000000">
              <w:rPr>
                <w:i w:val="1"/>
                <w:rtl w:val="0"/>
              </w:rPr>
              <w:t xml:space="preserve">euro </w:t>
            </w:r>
            <w:r w:rsidR="00000000" w:rsidRPr="00000000" w:rsidDel="00000000">
              <w:rPr>
                <w:rtl w:val="0"/>
              </w:rPr>
              <w:t xml:space="preserve">(no tā elastības finansējums – 2 411 235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(no tā elastības finansējums – 2 049 550 </w:t>
            </w:r>
            <w:r w:rsidR="00000000" w:rsidRPr="00000000" w:rsidDel="00000000">
              <w:rPr>
                <w:i w:val="1"/>
                <w:rtl w:val="0"/>
              </w:rPr>
              <w:t xml:space="preserve">euro</w:t>
            </w:r>
            <w:r w:rsidR="00000000" w:rsidRPr="00000000" w:rsidDel="00000000">
              <w:rPr>
                <w:rtl w:val="0"/>
              </w:rPr>
              <w:t xml:space="preserve">) un valsts budžeta līdzfinansējums – 4 404 825 </w:t>
            </w:r>
            <w:r w:rsidR="00000000" w:rsidRPr="00000000" w:rsidDel="00000000">
              <w:rPr>
                <w:i w:val="1"/>
                <w:rtl w:val="0"/>
              </w:rPr>
              <w:t xml:space="preserve">euro </w:t>
            </w:r>
            <w:r w:rsidR="00000000" w:rsidRPr="00000000" w:rsidDel="00000000">
              <w:rPr>
                <w:rtl w:val="0"/>
              </w:rPr>
              <w:t xml:space="preserve">(no tā elastības finansējums – 361 685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7. punktā norādīto pasākuma īstenošanai kopējo pieejamo finansējumu, lūdzam pārskatīt norādīto elastības finansējuma apmēru Eiropas Reģionālās attīstības fonda finansējumam un valsts budžeta līdzfinansējumam.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informēt, kuras rādītāju vērtības uzskatāmas par aktuālajām, ņemot vērā, ka EM dažādos dokumentos ir norādījusi atšķirīgi (piem.: EM 18.02.2025. atsūtītajā epasta vēstulē Nr. 3.3-4/2025/1143N).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komersanta statusa apliecinājumu, ja projekta iesniedzējs vai sadarbības partneris ir komersants, kurš atbilst mazas vidējas kapitalizācijas sabiedrības vai vidējas kapitalizācijas sabiedrības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izvērtēt, vai arī lielajam komersantam nevajag statusa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bet šo noteikumu </w:t>
            </w:r>
            <w:r w:rsidR="00000000" w:rsidRPr="00000000" w:rsidDel="00000000">
              <w:rPr>
                <w:rtl w:val="0"/>
              </w:rPr>
              <w:t xml:space="preserve">37.1.2.</w:t>
            </w:r>
            <w:r w:rsidR="00000000" w:rsidRPr="00000000" w:rsidDel="00000000">
              <w:rPr>
                <w:rtl w:val="0"/>
              </w:rPr>
              <w:t xml:space="preserve">,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intensitāti – par 15 procentiem saskaņā ar Komisijas regulas Nr. </w:t>
            </w:r>
            <w:r w:rsidR="00000000" w:rsidRPr="00000000" w:rsidDel="00000000">
              <w:rPr>
                <w:rtl w:val="0"/>
              </w:rPr>
              <w:t xml:space="preserve">651/2014</w:t>
            </w:r>
            <w:r w:rsidR="00000000" w:rsidRPr="00000000" w:rsidDel="00000000">
              <w:rPr>
                <w:rtl w:val="0"/>
              </w:rPr>
              <w:t xml:space="preserve"> 25. panta 6. punkta "b" apakšpunktu, ja atbalsta saņēmējs to ir sākotnēji paredzējis projekta iesniegumā un ir izpildīts viens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grozījumu noteikumu projekts paredz sadarbības partneru iesaisti projektu īstenošanā, lūdzam nodrošināt, ka visi atbilstošie no komercdarbības atbalsta regulējuma izrietošie nosacījumi ir iekļauti noteikumu projektā arī attiecībā uz sadarbības partneri, konkrēti, noteikumu projekta 38. un 39. punktā minētie. Gadījumā, ja noteikumu projekta ietvaros attiecībā uz sadarbības partneri nav plānots attiecināt atbalsta intensitātes palielinājumu, lūdzam anotācijā sniegt skaidrojumu par šādu stingrāku, nekā to paredz Komisijas regula Nr. 651/2014, prasību noteikšanu attiecībā uz atbalsta intensitātes palielinājuma neattiecināšanu uz sadarbības partneri.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vienotu terminoloģiju noteikumu projektā, lūdzam noteikumu projekta 38. punktu precizēt, ņemot vērā, ka noteikumu projekta ietvaros tiek lietots termins "finansējuma saņēmējs", nevis "atbalsta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Finansējumu par papildu intensitāti šo noteikumu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minētajos gadījumos izmaksā pēc tam, kad ir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noteikumus ar punktu, ja projekts tiek īstenots ar ārvalstu sadarbības partneri, jāpievieno sadarbības līgums vai nodomu protokols atbilstoši SAM MK noteikumu 20.</w:t>
            </w:r>
            <w:r w:rsidR="00000000" w:rsidRPr="00000000" w:rsidDel="00000000">
              <w:rPr>
                <w:vertAlign w:val="superscript"/>
                <w:rtl w:val="0"/>
              </w:rPr>
              <w:t xml:space="preserve">1</w:t>
            </w:r>
            <w:r w:rsidR="00000000" w:rsidRPr="00000000" w:rsidDel="00000000">
              <w:rPr>
                <w:rtl w:val="0"/>
              </w:rPr>
              <w:t xml:space="preserve"> punktā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25-TA-162</w:t>
    </w:r>
    <w:r>
      <w:br/>
    </w:r>
    <w:r w:rsidR="00000000" w:rsidRPr="00000000" w:rsidDel="00000000">
      <w:rPr>
        <w:rtl w:val="0"/>
      </w:rPr>
      <w:t xml:space="preserve">Izdrukāts 21.02.2025.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25-TA-162</w:t>
    </w:r>
    <w:r>
      <w:br/>
    </w:r>
    <w:r w:rsidR="00000000" w:rsidRPr="00000000" w:rsidDel="00000000">
      <w:rPr>
        <w:rtl w:val="0"/>
      </w:rPr>
      <w:t xml:space="preserve">Izdrukāts 21.02.2025.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Atzinumi_25-TA-162.docx</dc:title>
</cp:coreProperties>
</file>

<file path=docProps/custom.xml><?xml version="1.0" encoding="utf-8"?>
<Properties xmlns="http://schemas.openxmlformats.org/officeDocument/2006/custom-properties" xmlns:vt="http://schemas.openxmlformats.org/officeDocument/2006/docPropsVTypes"/>
</file>