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23. marta noteikumos Nr. 157 "Kārtība, kādā veicams ietekmes uz vidi stratēģiskais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26.03.2024.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26.03.2024.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