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 34.pantā noteiktās prasības publicitātei paredz investīciju un to rezultātu popularizēšanu, sniedzot dažādām auditorijām, tostarp plašsaziņas līdzekļiem un sabiedrībai, mērķorientētu informāciju. Līdz ar to, īstenojot MK noteikumu 13.11. punktā paredzētos publicitātes pasākumus,  ir jāpievērš uzmanība tam, lai informācijas pasniegšanā tiktu izvēlēta valoda un vizuālie tēli, kas mazina diskrimināciju un stereotipu veidošanos par kādu no dzimumiem, personām ar invaliditāti, reliģisko pārliecību, vecumu, rasi un etnisko izcelsmi vai seksuālo orientāciju.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projekta vadības un īstenošanas personālu ir jāparedz, ka personāla atlase, tostarp esošo darbinieku virzīšana darbam/amatam projektā,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anotāciju ar iepriekšminētajiem apsvērumiem, lai gūtu pārliecību, ka investīcijas 2.4.1.2.i  īstenošana netieši veicinās dzimumu līdztiesību un vienlīdzīgas iespējas un nodrošinās šo principu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2021/241 (2021. gada 12. februāris),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nosacījumu par dzimumu līdztiesības un vienlīdzīgu iespēju principa ievērošanu saskatām, ka to var iekļaut līgumā par projekta īstenošanu, piemēram, apliecinājuma sadaļā. Tādējādi tiktu veicināta dzimumu līdztiesības un vienlīdzīgu iespēju principa integrēšana investīcijas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