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23-TA-1451: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Transporta enerģijas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atbalsta shēma </w:t>
            </w:r>
            <w:r w:rsidR="00000000" w:rsidRPr="00000000" w:rsidDel="00000000">
              <w:rPr>
                <w:rtl w:val="0"/>
              </w:rPr>
              <w:t xml:space="preserve">– instruments vai mehānisms, ko piemēro, lai veicinātu atjaunīgās enerģijas izmantošanu, samazinot šādas enerģijas izmaksas, palielinot tās pārdošanas cenu vai iegādes apjomu, cita starpā nosakot pienākumu enerģijas ražotājiem nodrošināt, ka konkrēta saražotās enerģijas daļa ir atjaunīgā enerģija, enerģijas piegādātājiem nodrošināt, ka konkrēta piegādātās enerģijas daļa ir atjaunīgā enerģija, vai enerģijas patērētājiem nodrošināt, ka konkrēta patērētās enerģijas daļa ir atjaunīgā enerģija, kā arī izmantojot citus veidus, tai skaitā (bet ne tikai) atbalstu investīcijām, atbrīvojumu no nodokļiem vai nodokļu samazināšanu, nodokļu atmaksu, tiešo cenu atbalstu, regulētos tarifus un mainīgās vai fiksētās piemaksas un "zaļo sertifikāciju";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 (turpmāk - VARAM)  lūdz papildināt likumprojekta 1.panta 1.punktu atbilstoši Eiropas Parlamenta un Padomes Direktīvas  (ES) 2018/2001 (2018.gada 11.decembris) par no atjaunojamajiem energoresursiem iegūtas enerģijas izmantošanas veicināšanu 2.panta 5.punktam.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Agnita Atinga Švaža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b w:val="1"/>
                <w:rtl w:val="0"/>
              </w:rPr>
              <w:t xml:space="preserve">atjaunīgie energoresursi </w:t>
            </w:r>
            <w:r w:rsidR="00000000" w:rsidRPr="00000000" w:rsidDel="00000000">
              <w:rPr>
                <w:rtl w:val="0"/>
              </w:rPr>
              <w:t xml:space="preserve">– vēja enerģija, saules enerģija, ģeotermālā enerģija (zemes dzīļu siltuma enerģija), hidrotermālā enerģija (siltumenerģija, kura atrodas virszemes ūdeņos vai pazemes ūdeņos), apkārtējās vides enerģija (dabā sastopama siltumenerģija, siltumenerģija, kas uzkrājas gaisā, un norobežotā vidē uzkrāta enerģija, ko var uzkrāt apkārtējā gaisā (izņemot izplūdes gāzes no stacionāra avota), virszemes ūdeņos vai notekūdeņos), plūdmaiņu, viļņu un cita jūras enerģija, hidroenerģija, no atjaunīgiem energoresursiem ķīmiskās sintēzes procesā iegūta degviela (ūdeņradis, metāns vai cita), biomasa (arī atkritumu biomasas frakcija) vai notekūdeņu organiskās vielas;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Enerģētikas likuma 1.panta 1.punktā ir definēts jēdziens "atjaunojamie energoresursi - — vēja, saules, ģeotermālā, viļņu, paisuma un bēguma, ūdens enerģija, kā arī aerotermālā enerģija (siltumenerģija, kura uzkrājas gaisā), ģeotermālā enerģija (siltumenerģija, kura atrodas zem cietzemes virsmas) un hidrotermālā enerģija (siltumenerģija, kura atrodas virszemes ūdeņos), atkritumu poligonu un notekūdeņu attīrīšanas iekārtu gāzes, biogāze un biomasa;". Vides aizsardzības un reģionālās attīstības ministrija (turpmāk - VARAM) lūdz papildināt likumprojekta 1.panta 4.punktu ar "atkritumu poligonu un notekūdeņu attīrīšanas iekārtu gāzes, biogāze un biomasa;" vai arī anotācijā skaidrot, kāpēc šie atjaunojamie energoresursi nav uzskatāmi par atjaunīgiem energoresursiem.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Doniņa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w:t>
            </w:r>
            <w:r w:rsidR="00000000" w:rsidRPr="00000000" w:rsidDel="00000000">
              <w:rPr>
                <w:b w:val="1"/>
                <w:rtl w:val="0"/>
              </w:rPr>
              <w:t xml:space="preserve">lignocelulozes materiāls </w:t>
            </w:r>
            <w:r w:rsidR="00000000" w:rsidRPr="00000000" w:rsidDel="00000000">
              <w:rPr>
                <w:rtl w:val="0"/>
              </w:rPr>
              <w:t xml:space="preserve">– materiāls, ko veido lignīns, celuloze un hemiceluloze (piemēram, mežos iegūta biomasa, enerģētiskās kokaugu kultūras un uz koksnes resursiem balstītu nozaru atlikumi un atkritumi);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 panta 16. punkta norādītā definīcija - Lignocelulozes materiāls  neatbilst norādītajam aprakstam. Norādītais  definīcijas apraksts atbilst Lignocelulozes biomasas aprakstam.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Agnita Atinga Švaža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Republikas teritorijā atļauts realizēt tikai tādu transporta enerģiju, kas atbilst normatīvajos aktos noteiktajām transporta enerģijas kvalitātes prasībām un rādītājiem. Šī prasība neattiecas uz transportlīdzekļos izmantoto elektroenerģiju.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4.panta pirmajā daļā ietvert norādi, kuras jomas normatīvajos aktos ir noteiktas transporta enerģijas kvalitātes prasības un rādītāji.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Doniņa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Satiksmes ministrija, sadarbojoties ar Klimata un enerģētikas ministriju, Ekonomikas ministriju, Vides aizsardzības un reģionālās attīstības ministriju un attiecīgajām pašvaldībām, kuru administratīvo teritoriju tas skars, izstrādā atbilstošos politikas plānošanas dokumentus un, īstenojot tajos noteiktos pasākumus, nodrošina, 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pārejas noteikumos noteikt termiņu 5.panta pirmajā daļā minētā dokumenta izstrādei.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Doniņa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detalizētāku informāciju attiecībā uz norādīto par finansējuma piesaistes iespējām - "</w:t>
            </w:r>
            <w:r w:rsidR="00000000" w:rsidRPr="00000000" w:rsidDel="00000000">
              <w:rPr>
                <w:i w:val="1"/>
                <w:rtl w:val="0"/>
              </w:rPr>
              <w:t xml:space="preserve">Līdz ar to ir saprotams, ka pašvaldībām būs iespējams pieteikt attiecīgos projektus iepriekšminētā finansējuma saņemšanai, pamatojoties uz nepieciešamību sasniegt Likumprojekta 6.pantā iekļautos pienākumus</w:t>
            </w:r>
            <w:r w:rsidR="00000000" w:rsidRPr="00000000" w:rsidDel="00000000">
              <w:rPr>
                <w:rtl w:val="0"/>
              </w:rPr>
              <w:t xml:space="preserve">", pamatojot šādu apgalvojumu, t.sk.minot konkrētus atbalsta pasākumus, kur plānots sniegt atbalstu valstspilsētu pašvaldību teritorijās izmantoto sabiedrisko transportlīdzekļu iegādei.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Strode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detalizētāk skaidrot, kādi Atveseļošanās fonda un Taisnīgās pārkārtošanas fonda atbalsta pasākumi iekļauti norādītajā atsaucē - "</w:t>
            </w:r>
            <w:r w:rsidR="00000000" w:rsidRPr="00000000" w:rsidDel="00000000">
              <w:rPr>
                <w:i w:val="1"/>
                <w:rtl w:val="0"/>
              </w:rPr>
              <w:t xml:space="preserve">Tāpat Atveseļošanās un noturības mehānisma, kā arī Taisnīgās pārkārtošanās mehānisma ietvaros ir paredzēts būtisks finansējums energoefektivitātes uzlabošanai uzņēmējdarbībā un uzņēmējdarbības zaļināšanai – 115 milj. eiro, kur, iespējams, arī pašvaldības kapitālsabiedrības vai cits komersants varētu saņemt finansējumu elektromobilitātes attīstībai</w:t>
            </w:r>
            <w:r w:rsidR="00000000" w:rsidRPr="00000000" w:rsidDel="00000000">
              <w:rPr>
                <w:rtl w:val="0"/>
              </w:rPr>
              <w:t xml:space="preserve">", lai varētu gūt pārliecību par norādītā finanšu līdzekļu apmēra atbilstību, t.sk. attiecībā uz VARAM pārziņā esošajiem atbalsta pasākumiem.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Strode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Ministru kabineta noteiktai institūcijai, kas nodrošina enerģētikas politikas administrēšanu (turpmāk – Ministru kabineta noteikta institūcija) ir tiesības ņemt transporta enerģijas paraugus bez 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papildināt 10.daļu ar deleģējumu Ministru kabinetam noteikt šādu institūciju un attiecīgi papildināt likumprojekta Pārejas noteikumu 8.punktu. Vienlaikus no citām likumprojekta normām var secināt, ka minētajai institūcijai ir dažādi pienākumi un pilnvaras, tāpēc lūdzam paredzamo institucionālo struktūru skaidrot likumprojekta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Doniņa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tiek konstatēta transporta enerģijas neatbilstība normatīvajos aktos noteiktajām kvalitātes prasībām, Ministru kabineta noteikta institūcija pieņem lēmumu par korektīvajām darbībām, tostarp uzliek liegumu realizēt transporta enerģiju.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atsauci uz tiesību aktiem, kurās ir noteiktas minētās korektīvās darbības, vai arī attiecīgi papildināt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Doniņa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šā panta ceturtajā daļā minētās informācijas ziņošanas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ierosina ietvert delegējumu Ministru kabinetam ziņojuma saturu un formātu, lai nodrošinātu kvalitatīvas informācijas saņemšanu.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Doniņa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brīvprātīgās shēmas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minētās tiesību normas piemērošanu, lūdzam anotācijā norādīt, kas un kā šādas shēmas izveido, kā tiek pārraudzīta to darbība no valsts puses un kā notiek LV institūcijas sadarbība ar citas ES valsts izveidoto nacionālo shēmu.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Doniņa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likumprojektā minēts, ka "Transporta enerģijas likums" plāno risināt arī gaisa kvalitātes problēmas, aicinām atbilstoši precizēt anotāciju norādot, ka VARAM ir atbildīga ne vien par atkritumu jomas politikas izstrādi, bet arī par gaisa piesārņojuma jomas politikas izstrādi.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 (turpmāk – VARAM) saskaņā ar Atkritumu apsaimniekošanas likuma 7. panta pirmās daļas 1. un 2. punktu organizē atkritumu apsaimniekošanas valsts plāna izstrādi un koordinē tā īstenošanu, kā arī sagatavo normatīvo aktu projektus atkritumu apsaimniekošanas jomā. </w:t>
            </w:r>
            <w:r w:rsidR="00000000" w:rsidRPr="00000000" w:rsidDel="00000000">
              <w:rPr>
                <w:b w:val="1"/>
                <w:rtl w:val="0"/>
              </w:rPr>
              <w:t xml:space="preserve">Vienlaikus VARAM saskaņā ar likumu "Par piesārņojumu" ir atbildīgā ministrija par gaisa piesārņojuma samazināšanas mērķu sasniegšanu un atbilstošas politikas un politikas plānošanas dokumentu izstrādi noteikto mērķu sasniegšanai."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Lana Maslova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23-TA-1451</w:t>
    </w:r>
    <w:r>
      <w:br/>
    </w:r>
    <w:r w:rsidR="00000000" w:rsidRPr="00000000" w:rsidDel="00000000">
      <w:rPr>
        <w:rtl w:val="0"/>
      </w:rPr>
      <w:t xml:space="preserve">Izdrukāts 29.11.2023. 16.14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23-TA-1451</w:t>
    </w:r>
    <w:r>
      <w:br/>
    </w:r>
    <w:r w:rsidR="00000000" w:rsidRPr="00000000" w:rsidDel="00000000">
      <w:rPr>
        <w:rtl w:val="0"/>
      </w:rPr>
      <w:t xml:space="preserve">Izdrukāts 29.11.2023. 16.14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Atzinumi_23-TA-1451.docx</dc:title>
</cp:coreProperties>
</file>

<file path=docProps/custom.xml><?xml version="1.0" encoding="utf-8"?>
<Properties xmlns="http://schemas.openxmlformats.org/officeDocument/2006/custom-properties" xmlns:vt="http://schemas.openxmlformats.org/officeDocument/2006/docPropsVTypes"/>
</file>